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2000 12</w:t>
      </w:r>
    </w:p>
    <w:p>
      <w:pPr>
        <w:spacing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CUSTOMS BROKERS LICENCE</w:t>
      </w:r>
    </w:p>
    <w:p>
      <w:pPr>
        <w:pStyle w:val="BodyText"/>
        <w:spacing w:before="282"/>
      </w:pPr>
      <w:r>
        <w:rPr/>
        <w:pict>
          <v:rect style="position:absolute;margin-left:47.75pt;margin-top:26.198877pt;width:3pt;height:60.7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 has applied to the Chief Executive Officer for a customs brokers licence.</w:t>
      </w:r>
    </w:p>
    <w:p>
      <w:pPr>
        <w:spacing w:before="191"/>
        <w:ind w:left="609" w:right="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NEW SOUTH WALES</w:t>
      </w:r>
    </w:p>
    <w:p>
      <w:pPr>
        <w:pStyle w:val="BodyText"/>
        <w:spacing w:before="6"/>
        <w:ind w:left="0"/>
        <w:rPr>
          <w:rFonts w:ascii="Georgia"/>
          <w:sz w:val="22"/>
        </w:rPr>
      </w:pPr>
    </w:p>
    <w:p>
      <w:pPr>
        <w:pStyle w:val="Heading1"/>
      </w:pPr>
      <w:r>
        <w:rPr>
          <w:color w:val="585858"/>
        </w:rPr>
        <w:t>Sean O'Reilly</w:t>
      </w:r>
    </w:p>
    <w:p>
      <w:pPr>
        <w:pStyle w:val="BodyText"/>
        <w:spacing w:before="10"/>
        <w:ind w:left="0"/>
        <w:rPr>
          <w:rFonts w:ascii="Georgia"/>
          <w:i/>
          <w:sz w:val="39"/>
        </w:rPr>
      </w:pPr>
    </w:p>
    <w:p>
      <w:pPr>
        <w:pStyle w:val="BodyText"/>
        <w:ind w:right="99"/>
      </w:pPr>
      <w:r>
        <w:rPr/>
        <w:pict>
          <v:rect style="position:absolute;margin-left:47.75pt;margin-top:24.098877pt;width:3pt;height:76.5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these applications should address their correspondence to:</w:t>
      </w:r>
    </w:p>
    <w:p>
      <w:pPr>
        <w:pStyle w:val="Heading1"/>
        <w:spacing w:before="190"/>
        <w:ind w:right="5375"/>
      </w:pPr>
      <w:r>
        <w:rPr>
          <w:color w:val="585858"/>
        </w:rPr>
        <w:t>Australian Customs Service Customs Brokers Licensing Group 5 Constitution Avenue</w:t>
      </w:r>
    </w:p>
    <w:p>
      <w:pPr>
        <w:spacing w:before="3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CANBERRA ACT 2601</w:t>
      </w:r>
    </w:p>
    <w:p>
      <w:pPr>
        <w:pStyle w:val="BodyText"/>
        <w:spacing w:before="10"/>
        <w:ind w:left="0"/>
        <w:rPr>
          <w:rFonts w:ascii="Georgia"/>
          <w:i/>
          <w:sz w:val="39"/>
        </w:rPr>
      </w:pPr>
    </w:p>
    <w:p>
      <w:pPr>
        <w:pStyle w:val="BodyText"/>
      </w:pPr>
      <w:r>
        <w:rPr/>
        <w:t>by 30 March 2000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right="7769"/>
      </w:pPr>
      <w:r>
        <w:rPr>
          <w:spacing w:val="-14"/>
        </w:rPr>
        <w:t>P. </w:t>
      </w:r>
      <w:r>
        <w:rPr/>
        <w:t>Gulbransen National</w:t>
      </w:r>
      <w:r>
        <w:rPr>
          <w:spacing w:val="3"/>
        </w:rPr>
        <w:t> </w:t>
      </w:r>
      <w:r>
        <w:rPr>
          <w:spacing w:val="-3"/>
        </w:rPr>
        <w:t>Manager</w:t>
      </w:r>
    </w:p>
    <w:p>
      <w:pPr>
        <w:pStyle w:val="BodyText"/>
        <w:spacing w:line="237" w:lineRule="auto"/>
        <w:ind w:right="6531"/>
      </w:pPr>
      <w:r>
        <w:rPr/>
        <w:t>Import/Export Management Branch for</w:t>
      </w:r>
    </w:p>
    <w:p>
      <w:pPr>
        <w:pStyle w:val="BodyText"/>
        <w:spacing w:line="446" w:lineRule="auto"/>
        <w:ind w:right="7587"/>
      </w:pPr>
      <w:r>
        <w:rPr/>
        <w:t>Chief Executive Officer 1 March, 2000</w:t>
      </w:r>
    </w:p>
    <w:sectPr>
      <w:type w:val="continuous"/>
      <w:pgSz w:w="11900" w:h="16840"/>
      <w:pgMar w:top="700" w:bottom="280" w:left="6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609"/>
      <w:outlineLvl w:val="1"/>
    </w:pPr>
    <w:rPr>
      <w:rFonts w:ascii="Georgia" w:hAnsi="Georgia" w:eastAsia="Georgia" w:cs="Georgia"/>
      <w:i/>
      <w:sz w:val="25"/>
      <w:szCs w:val="25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2020-12-09T22:56:26Z</dcterms:created>
  <dcterms:modified xsi:type="dcterms:W3CDTF">2020-12-09T22:56:26Z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