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16</w:t>
      </w:r>
    </w:p>
    <w:p>
      <w:pPr>
        <w:spacing w:before="390"/>
        <w:ind w:left="120" w:right="0" w:firstLine="0"/>
        <w:jc w:val="left"/>
        <w:rPr>
          <w:b/>
          <w:sz w:val="36"/>
        </w:rPr>
      </w:pPr>
      <w:r>
        <w:rPr>
          <w:b/>
          <w:color w:val="202020"/>
          <w:sz w:val="36"/>
        </w:rPr>
        <w:t>WITHDRAWAL OF ACS MANUALS VOLUMES 9 and 10</w:t>
      </w:r>
    </w:p>
    <w:p>
      <w:pPr>
        <w:pStyle w:val="BodyText"/>
        <w:spacing w:before="282"/>
        <w:ind w:right="116"/>
        <w:jc w:val="both"/>
      </w:pPr>
      <w:r>
        <w:rPr/>
        <w:t>In February 1999, the Australian </w:t>
      </w:r>
      <w:r>
        <w:rPr>
          <w:spacing w:val="-8"/>
        </w:rPr>
        <w:t>Tax </w:t>
      </w:r>
      <w:r>
        <w:rPr/>
        <w:t>Office </w:t>
      </w:r>
      <w:r>
        <w:rPr>
          <w:spacing w:val="-4"/>
        </w:rPr>
        <w:t>(ATO) </w:t>
      </w:r>
      <w:r>
        <w:rPr/>
        <w:t>assumed responsibility for administration of the excise </w:t>
      </w:r>
      <w:r>
        <w:rPr>
          <w:spacing w:val="-3"/>
        </w:rPr>
        <w:t>function </w:t>
      </w:r>
      <w:r>
        <w:rPr/>
        <w:t>following the Administrative Arrangement Orders issued by the Government in October 1998. With the transfer of responsibility there is no longer a requirement for excise information to be maintained in ACS manuals.</w:t>
      </w:r>
    </w:p>
    <w:p>
      <w:pPr>
        <w:pStyle w:val="BodyText"/>
        <w:spacing w:before="10"/>
        <w:ind w:left="0"/>
        <w:rPr>
          <w:sz w:val="17"/>
        </w:rPr>
      </w:pPr>
    </w:p>
    <w:p>
      <w:pPr>
        <w:pStyle w:val="BodyText"/>
        <w:ind w:right="151"/>
        <w:jc w:val="both"/>
      </w:pPr>
      <w:r>
        <w:rPr/>
        <w:t>Australian Customs Service Manual Volume 9 contains information related solely to excisable goods. It has </w:t>
      </w:r>
      <w:r>
        <w:rPr>
          <w:spacing w:val="-4"/>
        </w:rPr>
        <w:t>been </w:t>
      </w:r>
      <w:r>
        <w:rPr/>
        <w:t>deleted from the list of the Australian Customs Service Manuals.</w:t>
      </w:r>
    </w:p>
    <w:p>
      <w:pPr>
        <w:pStyle w:val="BodyText"/>
        <w:ind w:left="0"/>
        <w:rPr>
          <w:sz w:val="18"/>
        </w:rPr>
      </w:pPr>
    </w:p>
    <w:p>
      <w:pPr>
        <w:pStyle w:val="BodyText"/>
        <w:ind w:right="237"/>
      </w:pPr>
      <w:r>
        <w:rPr/>
        <w:t>Australian Customs Service Manual Volume 10 contains information relating to excisable goods and policy and procedures regarding Customs warehouses and duty free shops. References to excise are being removed from Volume 10 and the Customs information in that Manual is being updated. At the completion of this process an ACN will be issued advising that the updated version is available.</w:t>
      </w:r>
    </w:p>
    <w:p>
      <w:pPr>
        <w:pStyle w:val="BodyText"/>
        <w:spacing w:before="8"/>
        <w:ind w:left="0"/>
        <w:rPr>
          <w:sz w:val="17"/>
        </w:rPr>
      </w:pPr>
    </w:p>
    <w:p>
      <w:pPr>
        <w:spacing w:before="1"/>
        <w:ind w:left="120" w:right="859" w:firstLine="0"/>
        <w:jc w:val="left"/>
        <w:rPr>
          <w:b/>
          <w:sz w:val="21"/>
        </w:rPr>
      </w:pPr>
      <w:r>
        <w:rPr>
          <w:b/>
          <w:sz w:val="21"/>
        </w:rPr>
        <w:t>As information concerning excise in these manuals may no longer be accurate theyshould not be referred to for guidance on excise matters.</w:t>
      </w:r>
    </w:p>
    <w:p>
      <w:pPr>
        <w:pStyle w:val="BodyText"/>
        <w:spacing w:line="450" w:lineRule="exact" w:before="44"/>
        <w:ind w:right="2168"/>
      </w:pPr>
      <w:r>
        <w:rPr/>
        <w:t>For further information on excise, contact the ATO on telephone number </w:t>
      </w:r>
      <w:r>
        <w:rPr>
          <w:i/>
        </w:rPr>
        <w:t>1300 657 162. </w:t>
      </w:r>
      <w:r>
        <w:rPr/>
        <w:t>Phil Burns</w:t>
      </w:r>
    </w:p>
    <w:p>
      <w:pPr>
        <w:pStyle w:val="BodyText"/>
        <w:spacing w:line="216" w:lineRule="auto" w:before="17"/>
        <w:ind w:left="119" w:right="8776"/>
      </w:pPr>
      <w:r>
        <w:rPr/>
        <w:t>National Director Commercial </w:t>
      </w:r>
      <w:r>
        <w:rPr>
          <w:spacing w:val="-2"/>
        </w:rPr>
        <w:t>Divi</w:t>
      </w:r>
      <w:r>
        <w:rPr>
          <w:spacing w:val="-95"/>
        </w:rPr>
        <w:t>s</w:t>
      </w:r>
      <w:r>
        <w:rPr>
          <w:spacing w:val="-2"/>
        </w:rPr>
        <w:t>ion</w:t>
      </w:r>
      <w:r>
        <w:rPr/>
        <w:t> for</w:t>
      </w:r>
    </w:p>
    <w:p>
      <w:pPr>
        <w:pStyle w:val="BodyText"/>
        <w:spacing w:line="194" w:lineRule="auto" w:before="86"/>
        <w:ind w:right="8250"/>
      </w:pPr>
      <w:r>
        <w:rPr/>
        <w:t>Chief Executive Officer 31 March 2000</w:t>
      </w:r>
    </w:p>
    <w:sectPr>
      <w:type w:val="continuous"/>
      <w:pgSz w:w="11900" w:h="16840"/>
      <w:pgMar w:top="700" w:bottom="280" w:left="5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20"/>
    </w:pPr>
    <w:rPr>
      <w:rFonts w:ascii="Arial" w:hAnsi="Arial" w:eastAsia="Arial" w:cs="Arial"/>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2020-12-09T22:58:03Z</dcterms:created>
  <dcterms:modified xsi:type="dcterms:W3CDTF">2020-12-09T22:58:03Z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