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2000 22</w:t>
      </w:r>
    </w:p>
    <w:p>
      <w:pPr>
        <w:spacing w:line="312" w:lineRule="auto" w:before="390"/>
        <w:ind w:left="120" w:right="0" w:firstLine="0"/>
        <w:jc w:val="left"/>
        <w:rPr>
          <w:b/>
          <w:sz w:val="36"/>
        </w:rPr>
      </w:pPr>
      <w:r>
        <w:rPr>
          <w:b/>
          <w:color w:val="202020"/>
          <w:sz w:val="36"/>
        </w:rPr>
        <w:t>TEMPORARY IMPORT PROVISIONS and #8211; EXPORT REPORTING AND ACQUITTAL PROCESS</w:t>
      </w:r>
    </w:p>
    <w:p>
      <w:pPr>
        <w:pStyle w:val="BodyText"/>
        <w:spacing w:before="159"/>
        <w:ind w:left="119" w:right="114"/>
      </w:pPr>
      <w:r>
        <w:rPr>
          <w:b/>
        </w:rPr>
        <w:t>Background </w:t>
      </w:r>
      <w:r>
        <w:rPr/>
        <w:t>This ACN supplements </w:t>
      </w:r>
      <w:hyperlink r:id="rId5">
        <w:r>
          <w:rPr>
            <w:color w:val="0F64C7"/>
          </w:rPr>
          <w:t>ACN 99/69</w:t>
        </w:r>
      </w:hyperlink>
      <w:r>
        <w:rPr/>
        <w:t>, which detailed additional legislative provisions introduced to cover the duty free admission of goods temporarily imported under section 162A of the </w:t>
      </w:r>
      <w:r>
        <w:rPr>
          <w:i/>
        </w:rPr>
        <w:t>Customs Act 1901 </w:t>
      </w:r>
      <w:r>
        <w:rPr/>
        <w:t>('the Act'). These provisions affect both goods for use in, or for purposes related to, the Sydney 2000 Olympic and Paralympic Games (Olympics) and associated events, and goods eligible for admission under international Customs Conventions which arrive without a carnet. Under the additional provisions, goods temporarily imported under section 162A of the Act (regulations 125 and 125A of the </w:t>
      </w:r>
      <w:r>
        <w:rPr>
          <w:i/>
        </w:rPr>
        <w:t>Customs Regulations 1926 </w:t>
      </w:r>
      <w:r>
        <w:rPr/>
        <w:t>("the Regulations")) that are subsequently intended for export require an application for permission to take the goods aboard a ship or aircraft in accordance with section 162AA of the Act. That permission is in the same format as an export entry.</w:t>
      </w:r>
    </w:p>
    <w:p>
      <w:pPr>
        <w:spacing w:line="237" w:lineRule="auto" w:before="0"/>
        <w:ind w:left="120" w:right="814" w:firstLine="0"/>
        <w:jc w:val="left"/>
        <w:rPr>
          <w:b/>
          <w:sz w:val="21"/>
        </w:rPr>
      </w:pPr>
      <w:r>
        <w:rPr>
          <w:sz w:val="21"/>
        </w:rPr>
        <w:t>Changes have been made to export reporting requirements and the EXIT system to take account of these legislative amendments. </w:t>
      </w:r>
      <w:r>
        <w:rPr>
          <w:b/>
          <w:sz w:val="21"/>
        </w:rPr>
        <w:t>Application For Permission to Export</w:t>
      </w:r>
    </w:p>
    <w:p>
      <w:pPr>
        <w:pStyle w:val="BodyText"/>
        <w:spacing w:before="5"/>
        <w:rPr>
          <w:b/>
          <w:sz w:val="17"/>
        </w:rPr>
      </w:pPr>
    </w:p>
    <w:p>
      <w:pPr>
        <w:pStyle w:val="BodyText"/>
        <w:ind w:left="120" w:right="254"/>
        <w:rPr>
          <w:b/>
        </w:rPr>
      </w:pPr>
      <w:r>
        <w:rPr/>
        <w:t>Goods temporarily imported under section 162A of the Act that are subsequently intended for export will require the lodgement of an application for permission to take goods aboard a ship or aircraft for export, in accordance with section 162AA of the Act. The format of the application for permission to export and an export entry are the same. Therefore an electronic application for permission to export can be lodged through EXIT, while a documentary application for permission to export can be lodged using the B957 &amp;amp; B957(a) approved form (Export Entry). A new Australian Harmonized Export Commodity Classification (AHECC) code, 9902.20.05, has been created for the export reporting of Olympic goods temporarily imported. Non-Olympic temporarily imported goods can be reported for export using AHECC codes 9902.20.12 or 9902.20.22, for cargo or non-cargo respectively. The exemptions to export entry reporting requirements specified in subsection 113(2) of the Act do not apply to applications for permission to export temporarily imported goods. </w:t>
      </w:r>
      <w:r>
        <w:rPr>
          <w:b/>
        </w:rPr>
        <w:t>Acquittal of Goods Temporarily Imported Under Section 162A</w:t>
      </w:r>
    </w:p>
    <w:p>
      <w:pPr>
        <w:pStyle w:val="BodyText"/>
        <w:spacing w:before="194"/>
        <w:ind w:left="120" w:right="150"/>
      </w:pPr>
      <w:r>
        <w:rPr/>
        <w:pict>
          <v:rect style="position:absolute;margin-left:47.75pt;margin-top:105.798874pt;width:3pt;height:75pt;mso-position-horizontal-relative:page;mso-position-vertical-relative:paragraph;z-index:15728640" filled="true" fillcolor="#003366" stroked="false">
            <v:fill type="solid"/>
            <w10:wrap type="none"/>
          </v:rect>
        </w:pict>
      </w:r>
      <w:r>
        <w:rPr/>
        <w:pict>
          <v:rect style="position:absolute;margin-left:75.5pt;margin-top:115.548874pt;width:3pt;height:40.5pt;mso-position-horizontal-relative:page;mso-position-vertical-relative:paragraph;z-index:15729152" filled="true" fillcolor="#003366" stroked="false">
            <v:fill type="solid"/>
            <w10:wrap type="none"/>
          </v:rect>
        </w:pict>
      </w:r>
      <w:r>
        <w:rPr/>
        <w:t>There currently exists in EXIT and on the B957(a) a provision for an export permit number to be reported to Customs on an application for permission to export/export entry. The application for permission to export/export entry permit field exists to allow the relevant permit/licence numbers to be quoted in situations where goods subject to export controls are intended for export. Each export Permit Issuing Agency (PIA) has been provided with a unique 3 alpha permit prefix code that forms part of the permit/licence number (eg. </w:t>
      </w:r>
      <w:r>
        <w:rPr>
          <w:b/>
        </w:rPr>
        <w:t>OZO </w:t>
      </w:r>
      <w:r>
        <w:rPr/>
        <w:t>for the Ozone Protection Section of Environment Australia). Where goods that were imported pursuant to a permission under section 162A of the Act the following unique 'permit' prefix should be used - </w:t>
      </w:r>
      <w:r>
        <w:rPr>
          <w:b/>
        </w:rPr>
        <w:t>TIP</w:t>
      </w:r>
      <w:r>
        <w:rPr/>
        <w:t>. The format of input of the import entry number into the application for permission to export/export entry permit field is as follows:</w:t>
      </w:r>
    </w:p>
    <w:p>
      <w:pPr>
        <w:pStyle w:val="BodyText"/>
        <w:rPr>
          <w:sz w:val="22"/>
        </w:rPr>
      </w:pPr>
    </w:p>
    <w:p>
      <w:pPr>
        <w:spacing w:before="167"/>
        <w:ind w:left="1229" w:right="0" w:firstLine="0"/>
        <w:jc w:val="left"/>
        <w:rPr>
          <w:rFonts w:ascii="Georgia"/>
          <w:i/>
          <w:sz w:val="30"/>
        </w:rPr>
      </w:pPr>
      <w:r>
        <w:rPr>
          <w:rFonts w:ascii="Georgia"/>
          <w:color w:val="585858"/>
          <w:w w:val="105"/>
          <w:sz w:val="30"/>
        </w:rPr>
        <w:t>TIP</w:t>
      </w:r>
      <w:r>
        <w:rPr>
          <w:rFonts w:ascii="Georgia"/>
          <w:i/>
          <w:color w:val="585858"/>
          <w:w w:val="105"/>
          <w:sz w:val="30"/>
        </w:rPr>
        <w:t>1M92560001K</w:t>
      </w:r>
    </w:p>
    <w:p>
      <w:pPr>
        <w:pStyle w:val="BodyText"/>
        <w:rPr>
          <w:rFonts w:ascii="Georgia"/>
          <w:i/>
          <w:sz w:val="34"/>
        </w:rPr>
      </w:pPr>
    </w:p>
    <w:p>
      <w:pPr>
        <w:pStyle w:val="BodyText"/>
        <w:rPr>
          <w:rFonts w:ascii="Georgia"/>
          <w:i/>
          <w:sz w:val="34"/>
        </w:rPr>
      </w:pPr>
    </w:p>
    <w:p>
      <w:pPr>
        <w:pStyle w:val="BodyText"/>
        <w:spacing w:before="209"/>
        <w:ind w:left="119" w:right="232"/>
      </w:pPr>
      <w:r>
        <w:rPr/>
        <w:pict>
          <v:rect style="position:absolute;margin-left:47.75pt;margin-top:34.548878pt;width:3pt;height:75pt;mso-position-horizontal-relative:page;mso-position-vertical-relative:paragraph;z-index:15729664" filled="true" fillcolor="#003366" stroked="false">
            <v:fill type="solid"/>
            <w10:wrap type="none"/>
          </v:rect>
        </w:pict>
      </w:r>
      <w:r>
        <w:rPr/>
        <w:pict>
          <v:rect style="position:absolute;margin-left:75.5pt;margin-top:44.298878pt;width:3pt;height:40.5pt;mso-position-horizontal-relative:page;mso-position-vertical-relative:paragraph;z-index:15730176" filled="true" fillcolor="#003366" stroked="false">
            <v:fill type="solid"/>
            <w10:wrap type="none"/>
          </v:rect>
        </w:pict>
      </w:r>
      <w:r>
        <w:rPr/>
        <w:t>In situations where an import entry number was not generated (eg. Informal Clearance Document), the following should be input into the permit field:</w:t>
      </w:r>
    </w:p>
    <w:p>
      <w:pPr>
        <w:pStyle w:val="BodyText"/>
        <w:rPr>
          <w:sz w:val="22"/>
        </w:rPr>
      </w:pPr>
    </w:p>
    <w:p>
      <w:pPr>
        <w:spacing w:before="176"/>
        <w:ind w:left="1229" w:right="0" w:firstLine="0"/>
        <w:jc w:val="left"/>
        <w:rPr>
          <w:rFonts w:ascii="Georgia"/>
          <w:i/>
          <w:sz w:val="30"/>
        </w:rPr>
      </w:pPr>
      <w:r>
        <w:rPr>
          <w:rFonts w:ascii="Georgia"/>
          <w:color w:val="585858"/>
          <w:w w:val="105"/>
          <w:sz w:val="30"/>
        </w:rPr>
        <w:t>TIP</w:t>
      </w:r>
      <w:r>
        <w:rPr>
          <w:rFonts w:ascii="Georgia"/>
          <w:i/>
          <w:color w:val="585858"/>
          <w:w w:val="105"/>
          <w:sz w:val="30"/>
        </w:rPr>
        <w:t>MANUAL</w:t>
      </w:r>
    </w:p>
    <w:p>
      <w:pPr>
        <w:pStyle w:val="BodyText"/>
        <w:rPr>
          <w:rFonts w:ascii="Georgia"/>
          <w:i/>
          <w:sz w:val="34"/>
        </w:rPr>
      </w:pPr>
    </w:p>
    <w:p>
      <w:pPr>
        <w:pStyle w:val="BodyText"/>
        <w:rPr>
          <w:rFonts w:ascii="Georgia"/>
          <w:i/>
          <w:sz w:val="34"/>
        </w:rPr>
      </w:pPr>
    </w:p>
    <w:p>
      <w:pPr>
        <w:pStyle w:val="BodyText"/>
        <w:spacing w:before="210"/>
        <w:ind w:left="119" w:right="94"/>
      </w:pPr>
      <w:r>
        <w:rPr/>
        <w:t>EXIT will return an Export Clearance Number (ECN) in error where the aforementioned details are not input into the permit field for temporarily imported Olympic goods classified to AHECC code 9902.20.05. The EXIT error message will be error code 0008 - 'permit required none given'. Where applicable, Customs Brokers must provide the import entry number to owners of temporarily imported goods so that this information can be provided to the owner's export forwarding agent. Further information can be obtained through the nominated officers in the Regional Securities/Auxiliaries area (refer to contact details at </w:t>
      </w:r>
      <w:hyperlink r:id="rId5">
        <w:r>
          <w:rPr>
            <w:color w:val="0F64C7"/>
          </w:rPr>
          <w:t>attachment 'D' of ACN 99/69</w:t>
        </w:r>
      </w:hyperlink>
      <w:r>
        <w:rPr/>
        <w:t>). Lucy Bitmead National Manager Import/Export Management Branch For Chief Executive Officer</w:t>
      </w:r>
    </w:p>
    <w:p>
      <w:pPr>
        <w:spacing w:after="0"/>
        <w:sectPr>
          <w:type w:val="continuous"/>
          <w:pgSz w:w="11900" w:h="16840"/>
          <w:pgMar w:top="700" w:bottom="280" w:left="580" w:right="560"/>
        </w:sectPr>
      </w:pPr>
    </w:p>
    <w:p>
      <w:pPr>
        <w:pStyle w:val="BodyText"/>
        <w:spacing w:before="78"/>
        <w:ind w:left="120"/>
      </w:pPr>
      <w:r>
        <w:rPr/>
        <w:t>June 2000 C00/03470</w:t>
      </w:r>
    </w:p>
    <w:sectPr>
      <w:pgSz w:w="11900" w:h="16840"/>
      <w:pgMar w:top="500" w:bottom="280" w:left="5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Title" w:type="paragraph">
    <w:name w:val="Title"/>
    <w:basedOn w:val="Normal"/>
    <w:uiPriority w:val="1"/>
    <w:qFormat/>
    <w:pPr>
      <w:spacing w:before="63"/>
      <w:ind w:left="119"/>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borderauthor.border.gov.au/Busi/Cust/Aust/Australian-Customs-Notice-1999-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2020-12-09T22:45:16Z</dcterms:created>
  <dcterms:modified xsi:type="dcterms:W3CDTF">2020-12-09T22:45:16Z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