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28</w:t>
      </w:r>
    </w:p>
    <w:p>
      <w:pPr>
        <w:spacing w:before="357"/>
        <w:ind w:left="108" w:right="0" w:firstLine="0"/>
        <w:jc w:val="left"/>
        <w:rPr>
          <w:b/>
          <w:sz w:val="32"/>
        </w:rPr>
      </w:pPr>
      <w:r>
        <w:rPr>
          <w:b/>
          <w:color w:val="202020"/>
          <w:sz w:val="32"/>
        </w:rPr>
        <w:t>IMPLEMENTATION OF THE TRADEX SCHEME</w:t>
      </w:r>
    </w:p>
    <w:p>
      <w:pPr>
        <w:pStyle w:val="BodyText"/>
        <w:spacing w:line="237" w:lineRule="auto" w:before="256"/>
        <w:ind w:right="780"/>
      </w:pPr>
      <w:r>
        <w:rPr/>
        <w:t>On 23 June 2000, the Tradex Scheme (Tradex) will be implemented. Tradex is an industry assistance programme which will allow for the importation of goods without payment of customs duty or other taxes, provided the goods are subsequently exported or incorporated in other goods which are exported.</w:t>
      </w:r>
    </w:p>
    <w:p>
      <w:pPr>
        <w:pStyle w:val="BodyText"/>
        <w:spacing w:before="4"/>
        <w:ind w:left="0"/>
        <w:rPr>
          <w:sz w:val="16"/>
        </w:rPr>
      </w:pPr>
    </w:p>
    <w:p>
      <w:pPr>
        <w:spacing w:before="0"/>
        <w:ind w:left="108" w:right="0" w:firstLine="0"/>
        <w:jc w:val="left"/>
        <w:rPr>
          <w:sz w:val="19"/>
        </w:rPr>
      </w:pPr>
      <w:r>
        <w:rPr>
          <w:sz w:val="19"/>
        </w:rPr>
        <w:t>The </w:t>
      </w:r>
      <w:r>
        <w:rPr>
          <w:i/>
          <w:sz w:val="19"/>
        </w:rPr>
        <w:t>Tradex Scheme Act 1999 </w:t>
      </w:r>
      <w:r>
        <w:rPr>
          <w:sz w:val="19"/>
        </w:rPr>
        <w:t>is the legislative basis giving effect to the Scheme.</w:t>
      </w:r>
    </w:p>
    <w:p>
      <w:pPr>
        <w:pStyle w:val="BodyText"/>
        <w:spacing w:before="5"/>
        <w:ind w:left="0"/>
        <w:rPr>
          <w:sz w:val="16"/>
        </w:rPr>
      </w:pPr>
    </w:p>
    <w:p>
      <w:pPr>
        <w:pStyle w:val="BodyText"/>
        <w:spacing w:line="237" w:lineRule="auto"/>
        <w:ind w:right="414"/>
      </w:pPr>
      <w:r>
        <w:rPr/>
        <w:t>Tradex will replace the existing </w:t>
      </w:r>
      <w:r>
        <w:rPr>
          <w:spacing w:val="-5"/>
        </w:rPr>
        <w:t>Tariff </w:t>
      </w:r>
      <w:r>
        <w:rPr/>
        <w:t>Export Concession Scheme (TEXCO). However, to achieve a seamless transition, there will be a short period during which both schemes will run concurrently. Termination date for TEXCO will be 14 July 2000.</w:t>
      </w:r>
    </w:p>
    <w:p>
      <w:pPr>
        <w:pStyle w:val="BodyText"/>
        <w:spacing w:before="6"/>
        <w:ind w:left="0"/>
        <w:rPr>
          <w:sz w:val="16"/>
        </w:rPr>
      </w:pPr>
    </w:p>
    <w:p>
      <w:pPr>
        <w:pStyle w:val="BodyText"/>
        <w:spacing w:line="237" w:lineRule="auto"/>
      </w:pPr>
      <w:r>
        <w:rPr/>
        <w:t>The</w:t>
      </w:r>
      <w:r>
        <w:rPr>
          <w:spacing w:val="-5"/>
        </w:rPr>
        <w:t> </w:t>
      </w:r>
      <w:r>
        <w:rPr/>
        <w:t>scheme</w:t>
      </w:r>
      <w:r>
        <w:rPr>
          <w:spacing w:val="-4"/>
        </w:rPr>
        <w:t> </w:t>
      </w:r>
      <w:r>
        <w:rPr/>
        <w:t>will</w:t>
      </w:r>
      <w:r>
        <w:rPr>
          <w:spacing w:val="-4"/>
        </w:rPr>
        <w:t> </w:t>
      </w:r>
      <w:r>
        <w:rPr/>
        <w:t>be</w:t>
      </w:r>
      <w:r>
        <w:rPr>
          <w:spacing w:val="-4"/>
        </w:rPr>
        <w:t> </w:t>
      </w:r>
      <w:r>
        <w:rPr/>
        <w:t>administered</w:t>
      </w:r>
      <w:r>
        <w:rPr>
          <w:spacing w:val="-4"/>
        </w:rPr>
        <w:t> </w:t>
      </w:r>
      <w:r>
        <w:rPr/>
        <w:t>by</w:t>
      </w:r>
      <w:r>
        <w:rPr>
          <w:spacing w:val="-4"/>
        </w:rPr>
        <w:t> </w:t>
      </w:r>
      <w:r>
        <w:rPr/>
        <w:t>AusIndustry,</w:t>
      </w:r>
      <w:r>
        <w:rPr>
          <w:spacing w:val="-4"/>
        </w:rPr>
        <w:t> </w:t>
      </w:r>
      <w:r>
        <w:rPr/>
        <w:t>a</w:t>
      </w:r>
      <w:r>
        <w:rPr>
          <w:spacing w:val="-4"/>
        </w:rPr>
        <w:t> </w:t>
      </w:r>
      <w:r>
        <w:rPr/>
        <w:t>division</w:t>
      </w:r>
      <w:r>
        <w:rPr>
          <w:spacing w:val="-4"/>
        </w:rPr>
        <w:t> </w:t>
      </w:r>
      <w:r>
        <w:rPr/>
        <w:t>within</w:t>
      </w:r>
      <w:r>
        <w:rPr>
          <w:spacing w:val="-4"/>
        </w:rPr>
        <w:t> </w:t>
      </w:r>
      <w:r>
        <w:rPr/>
        <w:t>the</w:t>
      </w:r>
      <w:r>
        <w:rPr>
          <w:spacing w:val="-4"/>
        </w:rPr>
        <w:t> </w:t>
      </w:r>
      <w:r>
        <w:rPr/>
        <w:t>Department</w:t>
      </w:r>
      <w:r>
        <w:rPr>
          <w:spacing w:val="-4"/>
        </w:rPr>
        <w:t> </w:t>
      </w:r>
      <w:r>
        <w:rPr/>
        <w:t>of</w:t>
      </w:r>
      <w:r>
        <w:rPr>
          <w:spacing w:val="-4"/>
        </w:rPr>
        <w:t> </w:t>
      </w:r>
      <w:r>
        <w:rPr/>
        <w:t>Industry,</w:t>
      </w:r>
      <w:r>
        <w:rPr>
          <w:spacing w:val="-5"/>
        </w:rPr>
        <w:t> </w:t>
      </w:r>
      <w:r>
        <w:rPr/>
        <w:t>Science</w:t>
      </w:r>
      <w:r>
        <w:rPr>
          <w:spacing w:val="-4"/>
        </w:rPr>
        <w:t> </w:t>
      </w:r>
      <w:r>
        <w:rPr/>
        <w:t>and</w:t>
      </w:r>
      <w:r>
        <w:rPr>
          <w:spacing w:val="-4"/>
        </w:rPr>
        <w:t> </w:t>
      </w:r>
      <w:r>
        <w:rPr/>
        <w:t>Resources.</w:t>
      </w:r>
      <w:r>
        <w:rPr>
          <w:spacing w:val="-4"/>
        </w:rPr>
        <w:t> </w:t>
      </w:r>
      <w:r>
        <w:rPr/>
        <w:t>Importers</w:t>
      </w:r>
      <w:r>
        <w:rPr>
          <w:spacing w:val="-4"/>
        </w:rPr>
        <w:t> </w:t>
      </w:r>
      <w:r>
        <w:rPr/>
        <w:t>wishing</w:t>
      </w:r>
      <w:r>
        <w:rPr>
          <w:spacing w:val="-4"/>
        </w:rPr>
        <w:t> </w:t>
      </w:r>
      <w:r>
        <w:rPr/>
        <w:t>to</w:t>
      </w:r>
      <w:r>
        <w:rPr>
          <w:spacing w:val="-4"/>
        </w:rPr>
        <w:t> </w:t>
      </w:r>
      <w:r>
        <w:rPr/>
        <w:t>utilise</w:t>
      </w:r>
      <w:r>
        <w:rPr>
          <w:spacing w:val="-4"/>
        </w:rPr>
        <w:t> </w:t>
      </w:r>
      <w:r>
        <w:rPr/>
        <w:t>the</w:t>
      </w:r>
      <w:r>
        <w:rPr>
          <w:spacing w:val="-4"/>
        </w:rPr>
        <w:t> </w:t>
      </w:r>
      <w:r>
        <w:rPr/>
        <w:t>Tradex</w:t>
      </w:r>
      <w:r>
        <w:rPr>
          <w:spacing w:val="-4"/>
        </w:rPr>
        <w:t> </w:t>
      </w:r>
      <w:r>
        <w:rPr/>
        <w:t>Scheme</w:t>
      </w:r>
      <w:r>
        <w:rPr>
          <w:spacing w:val="-4"/>
        </w:rPr>
        <w:t> </w:t>
      </w:r>
      <w:r>
        <w:rPr/>
        <w:t>may</w:t>
      </w:r>
      <w:r>
        <w:rPr>
          <w:spacing w:val="-4"/>
        </w:rPr>
        <w:t> </w:t>
      </w:r>
      <w:r>
        <w:rPr/>
        <w:t>apply</w:t>
      </w:r>
      <w:r>
        <w:rPr>
          <w:spacing w:val="-4"/>
        </w:rPr>
        <w:t> </w:t>
      </w:r>
      <w:r>
        <w:rPr/>
        <w:t>to AusIndustry for a tradex order, as defined in section 4 of the </w:t>
      </w:r>
      <w:r>
        <w:rPr>
          <w:i/>
          <w:spacing w:val="-3"/>
        </w:rPr>
        <w:t>Tradex </w:t>
      </w:r>
      <w:r>
        <w:rPr>
          <w:i/>
        </w:rPr>
        <w:t>Scheme Act 1999</w:t>
      </w:r>
      <w:r>
        <w:rPr/>
        <w:t>, nominating the goods they wish to</w:t>
      </w:r>
      <w:r>
        <w:rPr>
          <w:spacing w:val="-28"/>
        </w:rPr>
        <w:t> </w:t>
      </w:r>
      <w:r>
        <w:rPr/>
        <w:t>import.</w:t>
      </w:r>
    </w:p>
    <w:p>
      <w:pPr>
        <w:pStyle w:val="BodyText"/>
        <w:spacing w:before="5"/>
        <w:ind w:left="0"/>
        <w:rPr>
          <w:sz w:val="16"/>
        </w:rPr>
      </w:pPr>
    </w:p>
    <w:p>
      <w:pPr>
        <w:pStyle w:val="BodyText"/>
        <w:spacing w:line="237" w:lineRule="auto" w:before="1"/>
        <w:ind w:right="447"/>
      </w:pPr>
      <w:r>
        <w:rPr/>
        <w:t>If the Secretary of the Department of Industry, Science and Resources ("the Secretary") is satisfied of those things set out in section </w:t>
      </w:r>
      <w:r>
        <w:rPr>
          <w:spacing w:val="-8"/>
        </w:rPr>
        <w:t>11 </w:t>
      </w:r>
      <w:r>
        <w:rPr/>
        <w:t>of the </w:t>
      </w:r>
      <w:r>
        <w:rPr>
          <w:i/>
          <w:spacing w:val="-3"/>
        </w:rPr>
        <w:t>Tradex </w:t>
      </w:r>
      <w:r>
        <w:rPr>
          <w:i/>
        </w:rPr>
        <w:t>Scheme Act 1999</w:t>
      </w:r>
      <w:r>
        <w:rPr/>
        <w:t>, the Secretary must make a tradex order. A tradex order will allow the use of item 21A of Schedule 4 to the Customs </w:t>
      </w:r>
      <w:r>
        <w:rPr>
          <w:spacing w:val="-5"/>
        </w:rPr>
        <w:t>Tariff </w:t>
      </w:r>
      <w:r>
        <w:rPr/>
        <w:t>Act 1995 to effect concessional entry of the nominated goods.</w:t>
      </w:r>
    </w:p>
    <w:p>
      <w:pPr>
        <w:pStyle w:val="BodyText"/>
        <w:spacing w:before="3"/>
        <w:ind w:left="0"/>
        <w:rPr>
          <w:sz w:val="16"/>
        </w:rPr>
      </w:pPr>
    </w:p>
    <w:p>
      <w:pPr>
        <w:pStyle w:val="BodyText"/>
        <w:spacing w:before="1"/>
      </w:pPr>
      <w:r>
        <w:rPr/>
        <w:t>Current TEXCO users may transfer to TRADEX by notifying AusIndustry of their wish to do so, prior to the commencement of the scheme.</w:t>
      </w:r>
    </w:p>
    <w:p>
      <w:pPr>
        <w:pStyle w:val="BodyText"/>
        <w:spacing w:before="5"/>
        <w:ind w:left="0"/>
        <w:rPr>
          <w:sz w:val="16"/>
        </w:rPr>
      </w:pPr>
    </w:p>
    <w:p>
      <w:pPr>
        <w:pStyle w:val="BodyText"/>
        <w:spacing w:line="237" w:lineRule="auto"/>
        <w:ind w:right="346"/>
      </w:pPr>
      <w:r>
        <w:rPr/>
        <w:t>Other importers wishing to use the Tradex Scheme should make an application to the Secretary for a tradex order in relation to the nominated goods. Contact numbers for AusIndustry regarding applications are as follows:</w:t>
      </w:r>
    </w:p>
    <w:p>
      <w:pPr>
        <w:pStyle w:val="BodyText"/>
        <w:spacing w:before="6"/>
        <w:ind w:left="0"/>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618"/>
        <w:gridCol w:w="6859"/>
        <w:gridCol w:w="6115"/>
      </w:tblGrid>
      <w:tr>
        <w:trPr>
          <w:trHeight w:val="404" w:hRule="atLeast"/>
        </w:trPr>
        <w:tc>
          <w:tcPr>
            <w:tcW w:w="2618" w:type="dxa"/>
            <w:tcBorders>
              <w:left w:val="nil"/>
            </w:tcBorders>
          </w:tcPr>
          <w:p>
            <w:pPr>
              <w:pStyle w:val="TableParagraph"/>
              <w:ind w:left="101"/>
              <w:rPr>
                <w:sz w:val="19"/>
              </w:rPr>
            </w:pPr>
            <w:r>
              <w:rPr>
                <w:color w:val="202020"/>
                <w:sz w:val="19"/>
              </w:rPr>
              <w:t>NSW</w:t>
            </w:r>
          </w:p>
        </w:tc>
        <w:tc>
          <w:tcPr>
            <w:tcW w:w="6859" w:type="dxa"/>
          </w:tcPr>
          <w:p>
            <w:pPr>
              <w:pStyle w:val="TableParagraph"/>
              <w:rPr>
                <w:sz w:val="19"/>
              </w:rPr>
            </w:pPr>
            <w:r>
              <w:rPr>
                <w:color w:val="202020"/>
                <w:sz w:val="19"/>
              </w:rPr>
              <w:t>Paul Ricketts</w:t>
            </w:r>
          </w:p>
        </w:tc>
        <w:tc>
          <w:tcPr>
            <w:tcW w:w="6115" w:type="dxa"/>
            <w:tcBorders>
              <w:right w:val="nil"/>
            </w:tcBorders>
          </w:tcPr>
          <w:p>
            <w:pPr>
              <w:pStyle w:val="TableParagraph"/>
              <w:rPr>
                <w:sz w:val="19"/>
              </w:rPr>
            </w:pPr>
            <w:r>
              <w:rPr>
                <w:color w:val="202020"/>
                <w:sz w:val="19"/>
              </w:rPr>
              <w:t>(02) 9256 0984</w:t>
            </w:r>
          </w:p>
        </w:tc>
      </w:tr>
      <w:tr>
        <w:trPr>
          <w:trHeight w:val="404" w:hRule="atLeast"/>
        </w:trPr>
        <w:tc>
          <w:tcPr>
            <w:tcW w:w="2618" w:type="dxa"/>
            <w:tcBorders>
              <w:left w:val="nil"/>
            </w:tcBorders>
          </w:tcPr>
          <w:p>
            <w:pPr>
              <w:pStyle w:val="TableParagraph"/>
              <w:ind w:left="101"/>
              <w:rPr>
                <w:sz w:val="19"/>
              </w:rPr>
            </w:pPr>
            <w:r>
              <w:rPr>
                <w:color w:val="202020"/>
                <w:sz w:val="19"/>
              </w:rPr>
              <w:t>QLD</w:t>
            </w:r>
          </w:p>
        </w:tc>
        <w:tc>
          <w:tcPr>
            <w:tcW w:w="6859" w:type="dxa"/>
          </w:tcPr>
          <w:p>
            <w:pPr>
              <w:pStyle w:val="TableParagraph"/>
              <w:rPr>
                <w:sz w:val="19"/>
              </w:rPr>
            </w:pPr>
            <w:r>
              <w:rPr>
                <w:color w:val="202020"/>
                <w:sz w:val="19"/>
              </w:rPr>
              <w:t>Paul Bradley</w:t>
            </w:r>
          </w:p>
        </w:tc>
        <w:tc>
          <w:tcPr>
            <w:tcW w:w="6115" w:type="dxa"/>
            <w:tcBorders>
              <w:right w:val="nil"/>
            </w:tcBorders>
          </w:tcPr>
          <w:p>
            <w:pPr>
              <w:pStyle w:val="TableParagraph"/>
              <w:rPr>
                <w:sz w:val="19"/>
              </w:rPr>
            </w:pPr>
            <w:r>
              <w:rPr>
                <w:color w:val="202020"/>
                <w:sz w:val="19"/>
              </w:rPr>
              <w:t>(07) 3231 5103</w:t>
            </w:r>
          </w:p>
        </w:tc>
      </w:tr>
      <w:tr>
        <w:trPr>
          <w:trHeight w:val="404" w:hRule="atLeast"/>
        </w:trPr>
        <w:tc>
          <w:tcPr>
            <w:tcW w:w="2618" w:type="dxa"/>
            <w:tcBorders>
              <w:left w:val="nil"/>
            </w:tcBorders>
          </w:tcPr>
          <w:p>
            <w:pPr>
              <w:pStyle w:val="TableParagraph"/>
              <w:ind w:left="101"/>
              <w:rPr>
                <w:sz w:val="19"/>
              </w:rPr>
            </w:pPr>
            <w:r>
              <w:rPr>
                <w:color w:val="202020"/>
                <w:sz w:val="19"/>
              </w:rPr>
              <w:t>SA</w:t>
            </w:r>
          </w:p>
        </w:tc>
        <w:tc>
          <w:tcPr>
            <w:tcW w:w="6859" w:type="dxa"/>
          </w:tcPr>
          <w:p>
            <w:pPr>
              <w:pStyle w:val="TableParagraph"/>
              <w:rPr>
                <w:sz w:val="19"/>
              </w:rPr>
            </w:pPr>
            <w:r>
              <w:rPr>
                <w:color w:val="202020"/>
                <w:sz w:val="19"/>
              </w:rPr>
              <w:t>Tony Petrelli</w:t>
            </w:r>
          </w:p>
        </w:tc>
        <w:tc>
          <w:tcPr>
            <w:tcW w:w="6115" w:type="dxa"/>
            <w:tcBorders>
              <w:right w:val="nil"/>
            </w:tcBorders>
          </w:tcPr>
          <w:p>
            <w:pPr>
              <w:pStyle w:val="TableParagraph"/>
              <w:rPr>
                <w:sz w:val="19"/>
              </w:rPr>
            </w:pPr>
            <w:r>
              <w:rPr>
                <w:color w:val="202020"/>
                <w:sz w:val="19"/>
              </w:rPr>
              <w:t>(08) 8406 4712</w:t>
            </w:r>
          </w:p>
        </w:tc>
      </w:tr>
      <w:tr>
        <w:trPr>
          <w:trHeight w:val="404" w:hRule="atLeast"/>
        </w:trPr>
        <w:tc>
          <w:tcPr>
            <w:tcW w:w="2618" w:type="dxa"/>
            <w:tcBorders>
              <w:left w:val="nil"/>
            </w:tcBorders>
          </w:tcPr>
          <w:p>
            <w:pPr>
              <w:pStyle w:val="TableParagraph"/>
              <w:ind w:left="101"/>
              <w:rPr>
                <w:sz w:val="19"/>
              </w:rPr>
            </w:pPr>
            <w:r>
              <w:rPr>
                <w:color w:val="202020"/>
                <w:sz w:val="19"/>
              </w:rPr>
              <w:t>WA</w:t>
            </w:r>
          </w:p>
        </w:tc>
        <w:tc>
          <w:tcPr>
            <w:tcW w:w="6859" w:type="dxa"/>
          </w:tcPr>
          <w:p>
            <w:pPr>
              <w:pStyle w:val="TableParagraph"/>
              <w:rPr>
                <w:sz w:val="19"/>
              </w:rPr>
            </w:pPr>
            <w:r>
              <w:rPr>
                <w:color w:val="202020"/>
                <w:sz w:val="19"/>
              </w:rPr>
              <w:t>Christina Hodson</w:t>
            </w:r>
          </w:p>
        </w:tc>
        <w:tc>
          <w:tcPr>
            <w:tcW w:w="6115" w:type="dxa"/>
            <w:tcBorders>
              <w:right w:val="nil"/>
            </w:tcBorders>
          </w:tcPr>
          <w:p>
            <w:pPr>
              <w:pStyle w:val="TableParagraph"/>
              <w:rPr>
                <w:sz w:val="19"/>
              </w:rPr>
            </w:pPr>
            <w:r>
              <w:rPr>
                <w:color w:val="202020"/>
                <w:sz w:val="19"/>
              </w:rPr>
              <w:t>(08) 9327 9517</w:t>
            </w:r>
          </w:p>
        </w:tc>
      </w:tr>
      <w:tr>
        <w:trPr>
          <w:trHeight w:val="404" w:hRule="atLeast"/>
        </w:trPr>
        <w:tc>
          <w:tcPr>
            <w:tcW w:w="2618" w:type="dxa"/>
            <w:tcBorders>
              <w:left w:val="nil"/>
            </w:tcBorders>
          </w:tcPr>
          <w:p>
            <w:pPr>
              <w:pStyle w:val="TableParagraph"/>
              <w:ind w:left="101"/>
              <w:rPr>
                <w:sz w:val="19"/>
              </w:rPr>
            </w:pPr>
            <w:r>
              <w:rPr>
                <w:color w:val="202020"/>
                <w:sz w:val="19"/>
              </w:rPr>
              <w:t>TAS</w:t>
            </w:r>
          </w:p>
        </w:tc>
        <w:tc>
          <w:tcPr>
            <w:tcW w:w="6859" w:type="dxa"/>
          </w:tcPr>
          <w:p>
            <w:pPr>
              <w:pStyle w:val="TableParagraph"/>
              <w:rPr>
                <w:sz w:val="19"/>
              </w:rPr>
            </w:pPr>
            <w:r>
              <w:rPr>
                <w:color w:val="202020"/>
                <w:sz w:val="19"/>
              </w:rPr>
              <w:t>Peter Hill</w:t>
            </w:r>
          </w:p>
        </w:tc>
        <w:tc>
          <w:tcPr>
            <w:tcW w:w="6115" w:type="dxa"/>
            <w:tcBorders>
              <w:right w:val="nil"/>
            </w:tcBorders>
          </w:tcPr>
          <w:p>
            <w:pPr>
              <w:pStyle w:val="TableParagraph"/>
              <w:rPr>
                <w:sz w:val="19"/>
              </w:rPr>
            </w:pPr>
            <w:r>
              <w:rPr>
                <w:color w:val="202020"/>
                <w:sz w:val="19"/>
              </w:rPr>
              <w:t>(03) 6234 1589</w:t>
            </w:r>
          </w:p>
        </w:tc>
      </w:tr>
      <w:tr>
        <w:trPr>
          <w:trHeight w:val="404" w:hRule="atLeast"/>
        </w:trPr>
        <w:tc>
          <w:tcPr>
            <w:tcW w:w="2618" w:type="dxa"/>
            <w:tcBorders>
              <w:left w:val="nil"/>
            </w:tcBorders>
          </w:tcPr>
          <w:p>
            <w:pPr>
              <w:pStyle w:val="TableParagraph"/>
              <w:ind w:left="101"/>
              <w:rPr>
                <w:sz w:val="19"/>
              </w:rPr>
            </w:pPr>
            <w:r>
              <w:rPr>
                <w:color w:val="202020"/>
                <w:sz w:val="19"/>
              </w:rPr>
              <w:t>ACT</w:t>
            </w:r>
          </w:p>
        </w:tc>
        <w:tc>
          <w:tcPr>
            <w:tcW w:w="6859" w:type="dxa"/>
          </w:tcPr>
          <w:p>
            <w:pPr>
              <w:pStyle w:val="TableParagraph"/>
              <w:rPr>
                <w:sz w:val="19"/>
              </w:rPr>
            </w:pPr>
            <w:r>
              <w:rPr>
                <w:color w:val="202020"/>
                <w:sz w:val="19"/>
              </w:rPr>
              <w:t>Urmil Sethi</w:t>
            </w:r>
          </w:p>
        </w:tc>
        <w:tc>
          <w:tcPr>
            <w:tcW w:w="6115" w:type="dxa"/>
            <w:tcBorders>
              <w:right w:val="nil"/>
            </w:tcBorders>
          </w:tcPr>
          <w:p>
            <w:pPr>
              <w:pStyle w:val="TableParagraph"/>
              <w:rPr>
                <w:sz w:val="19"/>
              </w:rPr>
            </w:pPr>
            <w:r>
              <w:rPr>
                <w:color w:val="202020"/>
                <w:sz w:val="19"/>
              </w:rPr>
              <w:t>(02) 6213 7803</w:t>
            </w:r>
          </w:p>
        </w:tc>
      </w:tr>
      <w:tr>
        <w:trPr>
          <w:trHeight w:val="404" w:hRule="atLeast"/>
        </w:trPr>
        <w:tc>
          <w:tcPr>
            <w:tcW w:w="2618" w:type="dxa"/>
            <w:tcBorders>
              <w:left w:val="nil"/>
            </w:tcBorders>
          </w:tcPr>
          <w:p>
            <w:pPr>
              <w:pStyle w:val="TableParagraph"/>
              <w:ind w:left="101"/>
              <w:rPr>
                <w:sz w:val="19"/>
              </w:rPr>
            </w:pPr>
            <w:r>
              <w:rPr>
                <w:color w:val="202020"/>
                <w:sz w:val="19"/>
              </w:rPr>
              <w:t>VIC</w:t>
            </w:r>
          </w:p>
        </w:tc>
        <w:tc>
          <w:tcPr>
            <w:tcW w:w="6859" w:type="dxa"/>
          </w:tcPr>
          <w:p>
            <w:pPr>
              <w:pStyle w:val="TableParagraph"/>
              <w:rPr>
                <w:sz w:val="19"/>
              </w:rPr>
            </w:pPr>
            <w:r>
              <w:rPr>
                <w:color w:val="202020"/>
                <w:sz w:val="19"/>
              </w:rPr>
              <w:t>John Leahy</w:t>
            </w:r>
          </w:p>
        </w:tc>
        <w:tc>
          <w:tcPr>
            <w:tcW w:w="6115" w:type="dxa"/>
            <w:tcBorders>
              <w:right w:val="nil"/>
            </w:tcBorders>
          </w:tcPr>
          <w:p>
            <w:pPr>
              <w:pStyle w:val="TableParagraph"/>
              <w:rPr>
                <w:sz w:val="19"/>
              </w:rPr>
            </w:pPr>
            <w:r>
              <w:rPr>
                <w:color w:val="202020"/>
                <w:sz w:val="19"/>
              </w:rPr>
              <w:t>(03) 9268 7572</w:t>
            </w:r>
          </w:p>
        </w:tc>
      </w:tr>
    </w:tbl>
    <w:p>
      <w:pPr>
        <w:pStyle w:val="BodyText"/>
        <w:spacing w:line="400" w:lineRule="atLeast" w:before="5"/>
        <w:ind w:right="7600"/>
      </w:pPr>
      <w:r>
        <w:rPr/>
        <w:t>Any inquiries relating to this Notice may be directed to Mr Michael Henry on (02) 6275 6502. Lucy Bitmead</w:t>
      </w:r>
    </w:p>
    <w:p>
      <w:pPr>
        <w:pStyle w:val="BodyText"/>
        <w:spacing w:line="237" w:lineRule="auto" w:before="6"/>
        <w:ind w:right="13018"/>
      </w:pPr>
      <w:r>
        <w:rPr/>
        <w:t>National Manager Imports/Exports Management for</w:t>
      </w:r>
    </w:p>
    <w:p>
      <w:pPr>
        <w:pStyle w:val="BodyText"/>
        <w:spacing w:line="237" w:lineRule="auto"/>
        <w:ind w:right="13018"/>
      </w:pPr>
      <w:r>
        <w:rPr/>
        <w:t>Chief Executive Officer CANBERRA ACT</w:t>
      </w:r>
    </w:p>
    <w:p>
      <w:pPr>
        <w:pStyle w:val="BodyText"/>
        <w:spacing w:before="4"/>
        <w:ind w:left="0"/>
        <w:rPr>
          <w:sz w:val="16"/>
        </w:rPr>
      </w:pPr>
    </w:p>
    <w:p>
      <w:pPr>
        <w:pStyle w:val="BodyText"/>
      </w:pPr>
      <w:r>
        <w:rPr/>
        <w:t>May 2000</w:t>
      </w:r>
    </w:p>
    <w:p>
      <w:pPr>
        <w:spacing w:after="0"/>
        <w:sectPr>
          <w:type w:val="continuous"/>
          <w:pgSz w:w="16840" w:h="11900" w:orient="landscape"/>
          <w:pgMar w:top="680" w:bottom="280" w:left="580" w:right="440"/>
        </w:sectPr>
      </w:pPr>
    </w:p>
    <w:p>
      <w:pPr>
        <w:pStyle w:val="BodyText"/>
        <w:spacing w:before="4"/>
        <w:ind w:left="0"/>
        <w:rPr>
          <w:sz w:val="17"/>
        </w:rPr>
      </w:pPr>
    </w:p>
    <w:sectPr>
      <w:pgSz w:w="16840" w:h="11900" w:orient="landscape"/>
      <w:pgMar w:top="110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8"/>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2020-12-09T23:03:38Z</dcterms:created>
  <dcterms:modified xsi:type="dcterms:W3CDTF">2020-12-09T23:03:38Z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