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47</w:t>
      </w:r>
    </w:p>
    <w:p>
      <w:pPr>
        <w:spacing w:before="357"/>
        <w:ind w:left="108" w:right="0" w:firstLine="0"/>
        <w:jc w:val="left"/>
        <w:rPr>
          <w:b/>
          <w:sz w:val="32"/>
        </w:rPr>
      </w:pPr>
      <w:r>
        <w:rPr>
          <w:b/>
          <w:color w:val="202020"/>
          <w:sz w:val="32"/>
        </w:rPr>
        <w:t>CUSTOMS TARIFF PROPOSAL NO.5 (2000)</w:t>
      </w:r>
    </w:p>
    <w:p>
      <w:pPr>
        <w:pStyle w:val="BodyText"/>
        <w:spacing w:line="237" w:lineRule="auto" w:before="256"/>
      </w:pPr>
      <w:r>
        <w:rPr/>
        <w:t>Customs </w:t>
      </w:r>
      <w:r>
        <w:rPr>
          <w:spacing w:val="-5"/>
        </w:rPr>
        <w:t>Tariff </w:t>
      </w:r>
      <w:r>
        <w:rPr/>
        <w:t>Proposal No. 5 (2000) was tabled in the House of Representatives on 29 June 2000. It contains a number of amendments to the </w:t>
      </w:r>
      <w:r>
        <w:rPr>
          <w:i/>
        </w:rPr>
        <w:t>Customs </w:t>
      </w:r>
      <w:r>
        <w:rPr>
          <w:i/>
          <w:spacing w:val="-3"/>
        </w:rPr>
        <w:t>Tariff </w:t>
      </w:r>
      <w:r>
        <w:rPr>
          <w:i/>
        </w:rPr>
        <w:t>Act 1995 </w:t>
      </w:r>
      <w:r>
        <w:rPr/>
        <w:t>which are operative from 1 July 2000. These are:</w:t>
      </w:r>
    </w:p>
    <w:p>
      <w:pPr>
        <w:pStyle w:val="BodyText"/>
        <w:spacing w:before="4"/>
        <w:ind w:left="0"/>
        <w:rPr>
          <w:sz w:val="16"/>
        </w:rPr>
      </w:pPr>
    </w:p>
    <w:p>
      <w:pPr>
        <w:pStyle w:val="BodyText"/>
      </w:pPr>
      <w:r>
        <w:rPr>
          <w:u w:val="single"/>
        </w:rPr>
        <w:t>Settlement of the Howe Leather Dispute</w:t>
      </w:r>
    </w:p>
    <w:p>
      <w:pPr>
        <w:pStyle w:val="BodyText"/>
        <w:spacing w:before="5"/>
        <w:ind w:left="0"/>
        <w:rPr>
          <w:sz w:val="16"/>
        </w:rPr>
      </w:pPr>
    </w:p>
    <w:p>
      <w:pPr>
        <w:pStyle w:val="BodyText"/>
        <w:spacing w:line="237" w:lineRule="auto"/>
        <w:ind w:right="820"/>
      </w:pPr>
      <w:r>
        <w:rPr/>
        <w:t>On 21 June 2000, it was announced by the Government that a settlement had been reached with the United States in relation to the Howe Leather dispute. Part of the settlement involved Australia reducing the duty on 30 tariff subheadings from 5% to free. These subheadings are:</w:t>
      </w: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862"/>
        <w:gridCol w:w="3909"/>
        <w:gridCol w:w="3923"/>
        <w:gridCol w:w="3896"/>
      </w:tblGrid>
      <w:tr>
        <w:trPr>
          <w:trHeight w:val="404" w:hRule="atLeast"/>
        </w:trPr>
        <w:tc>
          <w:tcPr>
            <w:tcW w:w="3862" w:type="dxa"/>
            <w:tcBorders>
              <w:left w:val="nil"/>
            </w:tcBorders>
          </w:tcPr>
          <w:p>
            <w:pPr>
              <w:pStyle w:val="TableParagraph"/>
              <w:rPr>
                <w:sz w:val="19"/>
              </w:rPr>
            </w:pPr>
            <w:r>
              <w:rPr>
                <w:color w:val="202020"/>
                <w:sz w:val="19"/>
              </w:rPr>
              <w:t>2905.12.00</w:t>
            </w:r>
          </w:p>
        </w:tc>
        <w:tc>
          <w:tcPr>
            <w:tcW w:w="3909" w:type="dxa"/>
          </w:tcPr>
          <w:p>
            <w:pPr>
              <w:pStyle w:val="TableParagraph"/>
              <w:rPr>
                <w:sz w:val="19"/>
              </w:rPr>
            </w:pPr>
            <w:r>
              <w:rPr>
                <w:color w:val="202020"/>
                <w:sz w:val="19"/>
              </w:rPr>
              <w:t>2915.60.00</w:t>
            </w:r>
          </w:p>
        </w:tc>
        <w:tc>
          <w:tcPr>
            <w:tcW w:w="3923" w:type="dxa"/>
          </w:tcPr>
          <w:p>
            <w:pPr>
              <w:pStyle w:val="TableParagraph"/>
              <w:rPr>
                <w:sz w:val="19"/>
              </w:rPr>
            </w:pPr>
            <w:r>
              <w:rPr>
                <w:color w:val="202020"/>
                <w:sz w:val="19"/>
              </w:rPr>
              <w:t>4011.30.00</w:t>
            </w:r>
          </w:p>
        </w:tc>
        <w:tc>
          <w:tcPr>
            <w:tcW w:w="3896" w:type="dxa"/>
            <w:tcBorders>
              <w:right w:val="nil"/>
            </w:tcBorders>
          </w:tcPr>
          <w:p>
            <w:pPr>
              <w:pStyle w:val="TableParagraph"/>
              <w:ind w:left="102"/>
              <w:rPr>
                <w:sz w:val="19"/>
              </w:rPr>
            </w:pPr>
            <w:r>
              <w:rPr>
                <w:color w:val="202020"/>
                <w:sz w:val="19"/>
              </w:rPr>
              <w:t>4014.10.00</w:t>
            </w:r>
          </w:p>
        </w:tc>
      </w:tr>
      <w:tr>
        <w:trPr>
          <w:trHeight w:val="404" w:hRule="atLeast"/>
        </w:trPr>
        <w:tc>
          <w:tcPr>
            <w:tcW w:w="3862" w:type="dxa"/>
            <w:tcBorders>
              <w:left w:val="nil"/>
            </w:tcBorders>
          </w:tcPr>
          <w:p>
            <w:pPr>
              <w:pStyle w:val="TableParagraph"/>
              <w:rPr>
                <w:sz w:val="19"/>
              </w:rPr>
            </w:pPr>
            <w:r>
              <w:rPr>
                <w:color w:val="202020"/>
                <w:sz w:val="19"/>
              </w:rPr>
              <w:t>7013.10.00</w:t>
            </w:r>
          </w:p>
        </w:tc>
        <w:tc>
          <w:tcPr>
            <w:tcW w:w="3909" w:type="dxa"/>
          </w:tcPr>
          <w:p>
            <w:pPr>
              <w:pStyle w:val="TableParagraph"/>
              <w:rPr>
                <w:sz w:val="19"/>
              </w:rPr>
            </w:pPr>
            <w:r>
              <w:rPr>
                <w:color w:val="202020"/>
                <w:sz w:val="19"/>
              </w:rPr>
              <w:t>8211.93.00</w:t>
            </w:r>
          </w:p>
        </w:tc>
        <w:tc>
          <w:tcPr>
            <w:tcW w:w="3923" w:type="dxa"/>
          </w:tcPr>
          <w:p>
            <w:pPr>
              <w:pStyle w:val="TableParagraph"/>
              <w:rPr>
                <w:sz w:val="19"/>
              </w:rPr>
            </w:pPr>
            <w:r>
              <w:rPr>
                <w:color w:val="202020"/>
                <w:sz w:val="19"/>
              </w:rPr>
              <w:t>8407.21.00</w:t>
            </w:r>
          </w:p>
        </w:tc>
        <w:tc>
          <w:tcPr>
            <w:tcW w:w="3896" w:type="dxa"/>
            <w:tcBorders>
              <w:right w:val="nil"/>
            </w:tcBorders>
          </w:tcPr>
          <w:p>
            <w:pPr>
              <w:pStyle w:val="TableParagraph"/>
              <w:ind w:left="102"/>
              <w:rPr>
                <w:sz w:val="19"/>
              </w:rPr>
            </w:pPr>
            <w:r>
              <w:rPr>
                <w:color w:val="202020"/>
                <w:sz w:val="19"/>
              </w:rPr>
              <w:t>8419.60.00</w:t>
            </w:r>
          </w:p>
        </w:tc>
      </w:tr>
      <w:tr>
        <w:trPr>
          <w:trHeight w:val="404" w:hRule="atLeast"/>
        </w:trPr>
        <w:tc>
          <w:tcPr>
            <w:tcW w:w="3862" w:type="dxa"/>
            <w:tcBorders>
              <w:left w:val="nil"/>
            </w:tcBorders>
          </w:tcPr>
          <w:p>
            <w:pPr>
              <w:pStyle w:val="TableParagraph"/>
              <w:rPr>
                <w:sz w:val="19"/>
              </w:rPr>
            </w:pPr>
            <w:r>
              <w:rPr>
                <w:color w:val="202020"/>
                <w:sz w:val="19"/>
              </w:rPr>
              <w:t>8475.21.00</w:t>
            </w:r>
          </w:p>
        </w:tc>
        <w:tc>
          <w:tcPr>
            <w:tcW w:w="3909" w:type="dxa"/>
          </w:tcPr>
          <w:p>
            <w:pPr>
              <w:pStyle w:val="TableParagraph"/>
              <w:rPr>
                <w:sz w:val="19"/>
              </w:rPr>
            </w:pPr>
            <w:r>
              <w:rPr>
                <w:color w:val="202020"/>
                <w:sz w:val="19"/>
              </w:rPr>
              <w:t>8506.10.00</w:t>
            </w:r>
          </w:p>
        </w:tc>
        <w:tc>
          <w:tcPr>
            <w:tcW w:w="3923" w:type="dxa"/>
          </w:tcPr>
          <w:p>
            <w:pPr>
              <w:pStyle w:val="TableParagraph"/>
              <w:rPr>
                <w:sz w:val="19"/>
              </w:rPr>
            </w:pPr>
            <w:r>
              <w:rPr>
                <w:color w:val="202020"/>
                <w:sz w:val="19"/>
              </w:rPr>
              <w:t>8506.40.00</w:t>
            </w:r>
          </w:p>
        </w:tc>
        <w:tc>
          <w:tcPr>
            <w:tcW w:w="3896" w:type="dxa"/>
            <w:tcBorders>
              <w:right w:val="nil"/>
            </w:tcBorders>
          </w:tcPr>
          <w:p>
            <w:pPr>
              <w:pStyle w:val="TableParagraph"/>
              <w:ind w:left="102"/>
              <w:rPr>
                <w:sz w:val="19"/>
              </w:rPr>
            </w:pPr>
            <w:r>
              <w:rPr>
                <w:color w:val="202020"/>
                <w:sz w:val="19"/>
              </w:rPr>
              <w:t>8506.50.00</w:t>
            </w:r>
          </w:p>
        </w:tc>
      </w:tr>
      <w:tr>
        <w:trPr>
          <w:trHeight w:val="404" w:hRule="atLeast"/>
        </w:trPr>
        <w:tc>
          <w:tcPr>
            <w:tcW w:w="3862" w:type="dxa"/>
            <w:tcBorders>
              <w:left w:val="nil"/>
            </w:tcBorders>
          </w:tcPr>
          <w:p>
            <w:pPr>
              <w:pStyle w:val="TableParagraph"/>
              <w:rPr>
                <w:sz w:val="19"/>
              </w:rPr>
            </w:pPr>
            <w:r>
              <w:rPr>
                <w:color w:val="202020"/>
                <w:sz w:val="19"/>
              </w:rPr>
              <w:t>8509.30.00</w:t>
            </w:r>
          </w:p>
        </w:tc>
        <w:tc>
          <w:tcPr>
            <w:tcW w:w="3909" w:type="dxa"/>
          </w:tcPr>
          <w:p>
            <w:pPr>
              <w:pStyle w:val="TableParagraph"/>
              <w:rPr>
                <w:sz w:val="19"/>
              </w:rPr>
            </w:pPr>
            <w:r>
              <w:rPr>
                <w:color w:val="202020"/>
                <w:sz w:val="19"/>
              </w:rPr>
              <w:t>8509.40.00</w:t>
            </w:r>
          </w:p>
        </w:tc>
        <w:tc>
          <w:tcPr>
            <w:tcW w:w="3923" w:type="dxa"/>
          </w:tcPr>
          <w:p>
            <w:pPr>
              <w:pStyle w:val="TableParagraph"/>
              <w:rPr>
                <w:sz w:val="19"/>
              </w:rPr>
            </w:pPr>
            <w:r>
              <w:rPr>
                <w:color w:val="202020"/>
                <w:sz w:val="19"/>
              </w:rPr>
              <w:t>8509.80.00</w:t>
            </w:r>
          </w:p>
        </w:tc>
        <w:tc>
          <w:tcPr>
            <w:tcW w:w="3896" w:type="dxa"/>
            <w:tcBorders>
              <w:right w:val="nil"/>
            </w:tcBorders>
          </w:tcPr>
          <w:p>
            <w:pPr>
              <w:pStyle w:val="TableParagraph"/>
              <w:ind w:left="102"/>
              <w:rPr>
                <w:sz w:val="19"/>
              </w:rPr>
            </w:pPr>
            <w:r>
              <w:rPr>
                <w:color w:val="202020"/>
                <w:sz w:val="19"/>
              </w:rPr>
              <w:t>8510.20.00</w:t>
            </w:r>
          </w:p>
        </w:tc>
      </w:tr>
      <w:tr>
        <w:trPr>
          <w:trHeight w:val="404" w:hRule="atLeast"/>
        </w:trPr>
        <w:tc>
          <w:tcPr>
            <w:tcW w:w="3862" w:type="dxa"/>
            <w:tcBorders>
              <w:left w:val="nil"/>
            </w:tcBorders>
          </w:tcPr>
          <w:p>
            <w:pPr>
              <w:pStyle w:val="TableParagraph"/>
              <w:rPr>
                <w:sz w:val="19"/>
              </w:rPr>
            </w:pPr>
            <w:r>
              <w:rPr>
                <w:color w:val="202020"/>
                <w:sz w:val="19"/>
              </w:rPr>
              <w:t>8516.50.00</w:t>
            </w:r>
          </w:p>
        </w:tc>
        <w:tc>
          <w:tcPr>
            <w:tcW w:w="3909" w:type="dxa"/>
          </w:tcPr>
          <w:p>
            <w:pPr>
              <w:pStyle w:val="TableParagraph"/>
              <w:rPr>
                <w:sz w:val="19"/>
              </w:rPr>
            </w:pPr>
            <w:r>
              <w:rPr>
                <w:color w:val="202020"/>
                <w:sz w:val="19"/>
              </w:rPr>
              <w:t>8520.32.90</w:t>
            </w:r>
          </w:p>
        </w:tc>
        <w:tc>
          <w:tcPr>
            <w:tcW w:w="3923" w:type="dxa"/>
          </w:tcPr>
          <w:p>
            <w:pPr>
              <w:pStyle w:val="TableParagraph"/>
              <w:rPr>
                <w:sz w:val="19"/>
              </w:rPr>
            </w:pPr>
            <w:r>
              <w:rPr>
                <w:color w:val="202020"/>
                <w:sz w:val="19"/>
              </w:rPr>
              <w:t>8528.21.00</w:t>
            </w:r>
          </w:p>
        </w:tc>
        <w:tc>
          <w:tcPr>
            <w:tcW w:w="3896" w:type="dxa"/>
            <w:tcBorders>
              <w:right w:val="nil"/>
            </w:tcBorders>
          </w:tcPr>
          <w:p>
            <w:pPr>
              <w:pStyle w:val="TableParagraph"/>
              <w:ind w:left="102"/>
              <w:rPr>
                <w:sz w:val="19"/>
              </w:rPr>
            </w:pPr>
            <w:r>
              <w:rPr>
                <w:color w:val="202020"/>
                <w:sz w:val="19"/>
              </w:rPr>
              <w:t>8528.30.00</w:t>
            </w:r>
          </w:p>
        </w:tc>
      </w:tr>
      <w:tr>
        <w:trPr>
          <w:trHeight w:val="404" w:hRule="atLeast"/>
        </w:trPr>
        <w:tc>
          <w:tcPr>
            <w:tcW w:w="3862" w:type="dxa"/>
            <w:tcBorders>
              <w:left w:val="nil"/>
            </w:tcBorders>
          </w:tcPr>
          <w:p>
            <w:pPr>
              <w:pStyle w:val="TableParagraph"/>
              <w:rPr>
                <w:sz w:val="19"/>
              </w:rPr>
            </w:pPr>
            <w:r>
              <w:rPr>
                <w:color w:val="202020"/>
                <w:sz w:val="19"/>
              </w:rPr>
              <w:t>8539.21.00</w:t>
            </w:r>
          </w:p>
        </w:tc>
        <w:tc>
          <w:tcPr>
            <w:tcW w:w="3909" w:type="dxa"/>
          </w:tcPr>
          <w:p>
            <w:pPr>
              <w:pStyle w:val="TableParagraph"/>
              <w:rPr>
                <w:sz w:val="19"/>
              </w:rPr>
            </w:pPr>
            <w:r>
              <w:rPr>
                <w:color w:val="202020"/>
                <w:sz w:val="19"/>
              </w:rPr>
              <w:t>9008.40.00</w:t>
            </w:r>
          </w:p>
        </w:tc>
        <w:tc>
          <w:tcPr>
            <w:tcW w:w="3923" w:type="dxa"/>
          </w:tcPr>
          <w:p>
            <w:pPr>
              <w:pStyle w:val="TableParagraph"/>
              <w:rPr>
                <w:sz w:val="19"/>
              </w:rPr>
            </w:pPr>
            <w:r>
              <w:rPr>
                <w:color w:val="202020"/>
                <w:sz w:val="19"/>
              </w:rPr>
              <w:t>9010.10.00</w:t>
            </w:r>
          </w:p>
        </w:tc>
        <w:tc>
          <w:tcPr>
            <w:tcW w:w="3896" w:type="dxa"/>
            <w:tcBorders>
              <w:right w:val="nil"/>
            </w:tcBorders>
          </w:tcPr>
          <w:p>
            <w:pPr>
              <w:pStyle w:val="TableParagraph"/>
              <w:ind w:left="102"/>
              <w:rPr>
                <w:sz w:val="19"/>
              </w:rPr>
            </w:pPr>
            <w:r>
              <w:rPr>
                <w:color w:val="202020"/>
                <w:sz w:val="19"/>
              </w:rPr>
              <w:t>9010.50.10</w:t>
            </w:r>
          </w:p>
        </w:tc>
      </w:tr>
      <w:tr>
        <w:trPr>
          <w:trHeight w:val="404" w:hRule="atLeast"/>
        </w:trPr>
        <w:tc>
          <w:tcPr>
            <w:tcW w:w="3862" w:type="dxa"/>
            <w:tcBorders>
              <w:left w:val="nil"/>
            </w:tcBorders>
          </w:tcPr>
          <w:p>
            <w:pPr>
              <w:pStyle w:val="TableParagraph"/>
              <w:rPr>
                <w:sz w:val="19"/>
              </w:rPr>
            </w:pPr>
            <w:r>
              <w:rPr>
                <w:color w:val="202020"/>
                <w:sz w:val="19"/>
              </w:rPr>
              <w:t>9010.50.20</w:t>
            </w:r>
          </w:p>
        </w:tc>
        <w:tc>
          <w:tcPr>
            <w:tcW w:w="3909" w:type="dxa"/>
          </w:tcPr>
          <w:p>
            <w:pPr>
              <w:pStyle w:val="TableParagraph"/>
              <w:rPr>
                <w:sz w:val="19"/>
              </w:rPr>
            </w:pPr>
            <w:r>
              <w:rPr>
                <w:color w:val="202020"/>
                <w:sz w:val="19"/>
              </w:rPr>
              <w:t>9503.10.00</w:t>
            </w:r>
          </w:p>
        </w:tc>
        <w:tc>
          <w:tcPr>
            <w:tcW w:w="3923" w:type="dxa"/>
          </w:tcPr>
          <w:p>
            <w:pPr>
              <w:pStyle w:val="TableParagraph"/>
              <w:rPr>
                <w:sz w:val="19"/>
              </w:rPr>
            </w:pPr>
            <w:r>
              <w:rPr>
                <w:color w:val="202020"/>
                <w:sz w:val="19"/>
              </w:rPr>
              <w:t>9503.20.00</w:t>
            </w:r>
          </w:p>
        </w:tc>
        <w:tc>
          <w:tcPr>
            <w:tcW w:w="3896" w:type="dxa"/>
            <w:vMerge w:val="restart"/>
            <w:tcBorders>
              <w:left w:val="nil"/>
              <w:bottom w:val="nil"/>
              <w:right w:val="nil"/>
            </w:tcBorders>
          </w:tcPr>
          <w:p>
            <w:pPr>
              <w:pStyle w:val="TableParagraph"/>
              <w:ind w:left="102"/>
              <w:rPr>
                <w:sz w:val="19"/>
              </w:rPr>
            </w:pPr>
            <w:r>
              <w:rPr>
                <w:color w:val="202020"/>
                <w:sz w:val="19"/>
              </w:rPr>
              <w:t>9503.80.00</w:t>
            </w:r>
          </w:p>
        </w:tc>
      </w:tr>
      <w:tr>
        <w:trPr>
          <w:trHeight w:val="404" w:hRule="atLeast"/>
        </w:trPr>
        <w:tc>
          <w:tcPr>
            <w:tcW w:w="3862" w:type="dxa"/>
            <w:tcBorders>
              <w:left w:val="nil"/>
            </w:tcBorders>
          </w:tcPr>
          <w:p>
            <w:pPr>
              <w:pStyle w:val="TableParagraph"/>
              <w:rPr>
                <w:sz w:val="19"/>
              </w:rPr>
            </w:pPr>
            <w:r>
              <w:rPr>
                <w:color w:val="202020"/>
                <w:sz w:val="19"/>
              </w:rPr>
              <w:t>9506.11.00</w:t>
            </w:r>
          </w:p>
        </w:tc>
        <w:tc>
          <w:tcPr>
            <w:tcW w:w="3909" w:type="dxa"/>
          </w:tcPr>
          <w:p>
            <w:pPr>
              <w:pStyle w:val="TableParagraph"/>
              <w:rPr>
                <w:sz w:val="19"/>
              </w:rPr>
            </w:pPr>
            <w:r>
              <w:rPr>
                <w:color w:val="202020"/>
                <w:sz w:val="19"/>
              </w:rPr>
              <w:t>9617.00.00</w:t>
            </w:r>
          </w:p>
        </w:tc>
        <w:tc>
          <w:tcPr>
            <w:tcW w:w="3923" w:type="dxa"/>
            <w:tcBorders>
              <w:right w:val="nil"/>
            </w:tcBorders>
          </w:tcPr>
          <w:p>
            <w:pPr>
              <w:pStyle w:val="TableParagraph"/>
              <w:spacing w:before="0"/>
              <w:ind w:left="0"/>
              <w:rPr>
                <w:rFonts w:ascii="Times New Roman"/>
                <w:sz w:val="18"/>
              </w:rPr>
            </w:pPr>
          </w:p>
        </w:tc>
        <w:tc>
          <w:tcPr>
            <w:tcW w:w="3896" w:type="dxa"/>
            <w:vMerge/>
            <w:tcBorders>
              <w:top w:val="nil"/>
              <w:left w:val="nil"/>
              <w:bottom w:val="nil"/>
              <w:right w:val="nil"/>
            </w:tcBorders>
          </w:tcPr>
          <w:p>
            <w:pPr>
              <w:rPr>
                <w:sz w:val="2"/>
                <w:szCs w:val="2"/>
              </w:rPr>
            </w:pPr>
          </w:p>
        </w:tc>
      </w:tr>
    </w:tbl>
    <w:p>
      <w:pPr>
        <w:pStyle w:val="BodyText"/>
        <w:spacing w:before="3"/>
        <w:ind w:left="0"/>
        <w:rPr>
          <w:sz w:val="16"/>
        </w:rPr>
      </w:pPr>
    </w:p>
    <w:p>
      <w:pPr>
        <w:pStyle w:val="BodyText"/>
        <w:spacing w:line="446" w:lineRule="auto"/>
        <w:ind w:right="6193"/>
      </w:pPr>
      <w:r>
        <w:rPr/>
        <w:t>Subheading 8520.32.90 has been amalgamated with 8520.32.10 to create new subheading 8520.32.00. Alteration to Schedule 1 of the Customs Tariff Act</w:t>
      </w:r>
    </w:p>
    <w:p>
      <w:pPr>
        <w:pStyle w:val="BodyText"/>
        <w:spacing w:line="237" w:lineRule="auto"/>
        <w:ind w:right="356"/>
      </w:pPr>
      <w:r>
        <w:rPr/>
        <w:t>The United Nations reviews its list of designated least developed countries to ensure that the changing economic and development circumstances of individual countries are taken into account. Following such a review, both Angola and Madagascar have been transferred from the list of DCS countries in Part 2 of Schedule 1 to the list of DC countries in Part 3 of Schedule 1.</w:t>
      </w:r>
    </w:p>
    <w:p>
      <w:pPr>
        <w:pStyle w:val="BodyText"/>
        <w:spacing w:before="4"/>
        <w:ind w:left="0"/>
        <w:rPr>
          <w:sz w:val="16"/>
        </w:rPr>
      </w:pPr>
    </w:p>
    <w:p>
      <w:pPr>
        <w:pStyle w:val="BodyText"/>
        <w:spacing w:before="1"/>
      </w:pPr>
      <w:r>
        <w:rPr/>
        <w:t>The effect of the amendment will be to accord a tariff margin of 5%, where available, over the general rate of duty to imports from Angola and Madagascar.</w:t>
      </w:r>
    </w:p>
    <w:p>
      <w:pPr>
        <w:pStyle w:val="BodyText"/>
        <w:spacing w:before="3"/>
        <w:ind w:left="0"/>
        <w:rPr>
          <w:sz w:val="16"/>
        </w:rPr>
      </w:pPr>
    </w:p>
    <w:p>
      <w:pPr>
        <w:pStyle w:val="BodyText"/>
        <w:spacing w:line="446" w:lineRule="auto"/>
        <w:ind w:right="1244"/>
      </w:pPr>
      <w:r>
        <w:rPr/>
        <w:t>The Proposal also recognised the change of name for Zaire to the Democratic Republic of Congo. This change is reflected in Part 3 of Schedule 1 of the Customs Tariff Act. Item 54 in Part III of Schedule 4 to the Customs Tariff Act</w:t>
      </w:r>
    </w:p>
    <w:p>
      <w:pPr>
        <w:pStyle w:val="BodyText"/>
        <w:spacing w:line="237" w:lineRule="auto" w:before="1"/>
        <w:ind w:right="474"/>
      </w:pPr>
      <w:r>
        <w:rPr/>
        <w:t>The Administrative Arrangements for the Textiles, Clothing and Footwear Import Credit Scheme provide transistional arrangements whereby import credits earned under the Scheme may be used up until 30 December 2001. The current wording of item 54, however, only allows credits to be used until 30 June 2000.</w:t>
      </w:r>
    </w:p>
    <w:p>
      <w:pPr>
        <w:pStyle w:val="BodyText"/>
        <w:spacing w:before="3"/>
        <w:ind w:left="0"/>
        <w:rPr>
          <w:sz w:val="16"/>
        </w:rPr>
      </w:pPr>
    </w:p>
    <w:p>
      <w:pPr>
        <w:pStyle w:val="BodyText"/>
        <w:spacing w:line="446" w:lineRule="auto" w:before="1"/>
        <w:ind w:right="6193"/>
      </w:pPr>
      <w:r>
        <w:rPr/>
        <w:t>Item 54 has therefore been amended by this Proposal to accurately reflect the administrative arrangements. Customs tariff reprint pages issued in connection with these changes are:</w:t>
      </w:r>
    </w:p>
    <w:p>
      <w:pPr>
        <w:spacing w:after="0" w:line="446" w:lineRule="auto"/>
        <w:sectPr>
          <w:type w:val="continuous"/>
          <w:pgSz w:w="16840" w:h="11900" w:orient="landscape"/>
          <w:pgMar w:top="680" w:bottom="280" w:left="580" w:right="440"/>
        </w:sectPr>
      </w:pPr>
    </w:p>
    <w:p>
      <w:pPr>
        <w:pStyle w:val="BodyText"/>
        <w:spacing w:before="77"/>
      </w:pPr>
      <w:r>
        <w:rPr/>
        <w:t>Schedule 1 - 1/1 (R.2), 1/3 (R.1), CC/1 (R.2), CC/3 (R.3);</w:t>
      </w:r>
    </w:p>
    <w:p>
      <w:pPr>
        <w:pStyle w:val="BodyText"/>
        <w:spacing w:before="4"/>
        <w:ind w:left="0"/>
        <w:rPr>
          <w:sz w:val="16"/>
        </w:rPr>
      </w:pPr>
    </w:p>
    <w:p>
      <w:pPr>
        <w:pStyle w:val="BodyText"/>
      </w:pPr>
      <w:r>
        <w:rPr/>
        <w:pict>
          <v:rect style="position:absolute;margin-left:45.9105pt;margin-top:10.940146pt;width:2.70568pt;height:97.404476pt;mso-position-horizontal-relative:page;mso-position-vertical-relative:paragraph;z-index:15728640" filled="true" fillcolor="#003366" stroked="false">
            <v:fill type="solid"/>
            <w10:wrap type="none"/>
          </v:rect>
        </w:pict>
      </w:r>
      <w:r>
        <w:rPr/>
        <w:pict>
          <v:rect style="position:absolute;margin-left:70.938042pt;margin-top:19.733606pt;width:2.70568pt;height:66.289157pt;mso-position-horizontal-relative:page;mso-position-vertical-relative:paragraph;z-index:15729152" filled="true" fillcolor="#003366" stroked="false">
            <v:fill type="solid"/>
            <w10:wrap type="none"/>
          </v:rect>
        </w:pict>
      </w:r>
      <w:r>
        <w:rPr/>
        <w:t>Schedule 3 -29/9 29/9 (R.4), 29/15 (R.2), 40/11 (R.5), 70/7 (R.5), 82/7 (R.2),</w:t>
      </w:r>
    </w:p>
    <w:p>
      <w:pPr>
        <w:pStyle w:val="BodyText"/>
        <w:ind w:left="0"/>
        <w:rPr>
          <w:sz w:val="20"/>
        </w:rPr>
      </w:pPr>
    </w:p>
    <w:p>
      <w:pPr>
        <w:pStyle w:val="Heading1"/>
        <w:spacing w:before="158"/>
      </w:pPr>
      <w:r>
        <w:rPr>
          <w:color w:val="585858"/>
        </w:rPr>
        <w:t>84/11 (R.4), 84/23 (R.5), 84/55 (R.3), 85/9 (R.7), 85/11 (R.7),</w:t>
      </w:r>
    </w:p>
    <w:p>
      <w:pPr>
        <w:spacing w:line="298" w:lineRule="exact" w:before="0"/>
        <w:ind w:left="1108" w:right="0" w:firstLine="0"/>
        <w:jc w:val="left"/>
        <w:rPr>
          <w:rFonts w:ascii="Georgia"/>
          <w:i/>
          <w:sz w:val="27"/>
        </w:rPr>
      </w:pPr>
      <w:r>
        <w:rPr>
          <w:rFonts w:ascii="Georgia"/>
          <w:i/>
          <w:color w:val="585858"/>
          <w:sz w:val="27"/>
        </w:rPr>
        <w:t>85/15 (R.6), 85/21 (R.7), 85/25 (R.7), 85/33 (R.4), 90/9 (R.4),</w:t>
      </w:r>
    </w:p>
    <w:p>
      <w:pPr>
        <w:pStyle w:val="Heading1"/>
      </w:pPr>
      <w:r>
        <w:rPr>
          <w:color w:val="585858"/>
        </w:rPr>
        <w:t>95/3 (R.4), 95/5 (R.4), 96/7 (R.5); and</w:t>
      </w:r>
    </w:p>
    <w:p>
      <w:pPr>
        <w:pStyle w:val="BodyText"/>
        <w:ind w:left="0"/>
        <w:rPr>
          <w:rFonts w:ascii="Georgia"/>
          <w:i/>
          <w:sz w:val="30"/>
        </w:rPr>
      </w:pPr>
    </w:p>
    <w:p>
      <w:pPr>
        <w:pStyle w:val="BodyText"/>
        <w:ind w:left="0"/>
        <w:rPr>
          <w:rFonts w:ascii="Georgia"/>
          <w:i/>
          <w:sz w:val="30"/>
        </w:rPr>
      </w:pPr>
    </w:p>
    <w:p>
      <w:pPr>
        <w:pStyle w:val="BodyText"/>
        <w:spacing w:before="204"/>
      </w:pPr>
      <w:r>
        <w:rPr/>
        <w:t>Schedule 4 - 4/15 (R.4) and 4/26A (R.2).</w:t>
      </w:r>
    </w:p>
    <w:p>
      <w:pPr>
        <w:pStyle w:val="BodyText"/>
        <w:spacing w:before="3"/>
        <w:ind w:left="0"/>
        <w:rPr>
          <w:sz w:val="16"/>
        </w:rPr>
      </w:pPr>
    </w:p>
    <w:p>
      <w:pPr>
        <w:pStyle w:val="BodyText"/>
      </w:pPr>
      <w:r>
        <w:rPr/>
        <w:t>Any queries relating to this Proposal should be directed to Ray Banvill on (02) 6275 6516.</w:t>
      </w:r>
    </w:p>
    <w:p>
      <w:pPr>
        <w:pStyle w:val="BodyText"/>
        <w:ind w:left="0"/>
        <w:rPr>
          <w:sz w:val="20"/>
        </w:rPr>
      </w:pPr>
    </w:p>
    <w:p>
      <w:pPr>
        <w:pStyle w:val="BodyText"/>
        <w:ind w:left="0"/>
        <w:rPr>
          <w:sz w:val="20"/>
        </w:rPr>
      </w:pPr>
    </w:p>
    <w:p>
      <w:pPr>
        <w:pStyle w:val="BodyText"/>
        <w:ind w:left="0"/>
        <w:rPr>
          <w:sz w:val="20"/>
        </w:rPr>
      </w:pPr>
    </w:p>
    <w:p>
      <w:pPr>
        <w:pStyle w:val="BodyText"/>
        <w:spacing w:line="237" w:lineRule="auto" w:before="176"/>
        <w:ind w:right="13894"/>
      </w:pPr>
      <w:r>
        <w:rPr/>
        <w:t>Debbie Bates National Manager Tariff</w:t>
      </w:r>
    </w:p>
    <w:p>
      <w:pPr>
        <w:pStyle w:val="BodyText"/>
        <w:spacing w:line="216" w:lineRule="exact"/>
      </w:pPr>
      <w:r>
        <w:rPr/>
        <w:t>for</w:t>
      </w:r>
    </w:p>
    <w:p>
      <w:pPr>
        <w:pStyle w:val="BodyText"/>
        <w:spacing w:line="446" w:lineRule="auto"/>
        <w:ind w:right="13377"/>
      </w:pPr>
      <w:r>
        <w:rPr/>
        <w:t>the Chief Executive Officer 6 July 2000</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Heading1" w:type="paragraph">
    <w:name w:val="Heading 1"/>
    <w:basedOn w:val="Normal"/>
    <w:uiPriority w:val="1"/>
    <w:qFormat/>
    <w:pPr>
      <w:spacing w:line="302" w:lineRule="exact"/>
      <w:ind w:left="1108"/>
      <w:outlineLvl w:val="1"/>
    </w:pPr>
    <w:rPr>
      <w:rFonts w:ascii="Georgia" w:hAnsi="Georgia" w:eastAsia="Georgia" w:cs="Georgia"/>
      <w:i/>
      <w:sz w:val="27"/>
      <w:szCs w:val="27"/>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2020-12-09T22:15:46Z</dcterms:created>
  <dcterms:modified xsi:type="dcterms:W3CDTF">2020-12-09T22:15:46Z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