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48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AMENDMENT ACT (NO. 2) 2000</w:t>
      </w:r>
    </w:p>
    <w:p>
      <w:pPr>
        <w:spacing w:before="282"/>
        <w:ind w:left="100" w:right="0" w:firstLine="0"/>
        <w:jc w:val="left"/>
        <w:rPr>
          <w:sz w:val="21"/>
        </w:rPr>
      </w:pPr>
      <w:r>
        <w:rPr>
          <w:i/>
          <w:sz w:val="21"/>
        </w:rPr>
        <w:t>Customs Tariff Amendment Act (No. 2) 2000 </w:t>
      </w:r>
      <w:r>
        <w:rPr>
          <w:sz w:val="21"/>
        </w:rPr>
        <w:t>received the Royal Assent on 30 May 2000 and is numbered Act No. 55 of 2000.</w:t>
      </w:r>
    </w:p>
    <w:p>
      <w:pPr>
        <w:pStyle w:val="BodyText"/>
        <w:rPr>
          <w:sz w:val="18"/>
        </w:rPr>
      </w:pPr>
    </w:p>
    <w:p>
      <w:pPr>
        <w:pStyle w:val="BodyTex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864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No. 3 (1999) - created Additional Note 1 in Chapter 57 - ACN 99/77 refers;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93"/>
        <w:ind w:left="393" w:right="739"/>
      </w:pPr>
      <w:r>
        <w:rPr/>
        <w:pict>
          <v:shape style="position:absolute;margin-left:38.75pt;margin-top:9.998877pt;width:3pt;height:3pt;mso-position-horizontal-relative:page;mso-position-vertical-relative:paragraph;z-index:15729152" coordorigin="775,200" coordsize="60,60" path="m805,260l792,258,783,252,777,243,775,230,777,217,783,207,792,202,805,200,818,202,828,207,833,217,835,230,833,243,828,252,818,258,805,260xe" filled="true" fillcolor="#000000" stroked="false">
            <v:path arrowok="t"/>
            <v:fill type="solid"/>
            <w10:wrap type="none"/>
          </v:shape>
        </w:pict>
      </w:r>
      <w:r>
        <w:rPr/>
        <w:t>No. 4 (1999) - reinstated a 5% customs rate of duty on certain goods of subheadings 9017.20, 9017.80, 9028.10, 9028.20, 9028.30.00, 9031.10 and 9031.20 - ACN 99/77 refers; and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93"/>
        <w:ind w:left="393" w:right="184"/>
      </w:pPr>
      <w:r>
        <w:rPr/>
        <w:pict>
          <v:shape style="position:absolute;margin-left:38.75pt;margin-top:9.998877pt;width:3pt;height:3pt;mso-position-horizontal-relative:page;mso-position-vertical-relative:paragraph;z-index:15729664" coordorigin="775,200" coordsize="60,60" path="m805,260l792,258,783,252,777,243,775,230,777,217,783,207,792,202,805,200,818,202,828,207,833,217,835,230,833,243,828,252,818,258,805,260xe" filled="true" fillcolor="#000000" stroked="false">
            <v:path arrowok="t"/>
            <v:fill type="solid"/>
            <w10:wrap type="none"/>
          </v:shape>
        </w:pict>
      </w:r>
      <w:r>
        <w:rPr/>
        <w:t>No. 5 (1999) - implemented a free rate of duty for tinplate of subheadings 7210.11.00, 7210.20.00 and 7212.10.00 and created item 66 in Schedule 4 to provide concessional entry for aluminium cansheet of subheadings 7606.12.00 or 7606.92.00 which is used in the manufacture of aluminium cans, as prescribed by by-law - ACN 99/57 refers.</w:t>
      </w:r>
    </w:p>
    <w:p>
      <w:pPr>
        <w:pStyle w:val="BodyText"/>
        <w:rPr>
          <w:sz w:val="22"/>
        </w:rPr>
      </w:pPr>
    </w:p>
    <w:p>
      <w:pPr>
        <w:pStyle w:val="BodyText"/>
        <w:spacing w:before="192"/>
        <w:ind w:left="100" w:right="739"/>
      </w:pPr>
      <w:r>
        <w:rPr/>
        <w:t>Tariff reprint pages relevant to these amendments were issued at the time the Proposals were tabled in Parliament.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</w:pPr>
      <w:r>
        <w:rPr/>
        <w:t>Any queries on these changes should be directed to Ray Banvill on (02) 6275 6516.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 w:right="8982"/>
      </w:pPr>
      <w:r>
        <w:rPr/>
        <w:t>Debbie Bates National Manager Tariff</w:t>
      </w:r>
    </w:p>
    <w:p>
      <w:pPr>
        <w:pStyle w:val="BodyText"/>
        <w:spacing w:line="236" w:lineRule="exact"/>
        <w:ind w:left="100"/>
      </w:pPr>
      <w:r>
        <w:rPr/>
        <w:t>for</w:t>
      </w:r>
    </w:p>
    <w:p>
      <w:pPr>
        <w:pStyle w:val="BodyText"/>
        <w:spacing w:line="446" w:lineRule="auto"/>
        <w:ind w:left="100" w:right="7960"/>
      </w:pPr>
      <w:r>
        <w:rPr/>
        <w:t>the Chief Executive Officer 20 July 2000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2020-12-09T23:17:18Z</dcterms:created>
  <dcterms:modified xsi:type="dcterms:W3CDTF">2020-12-09T23:17:18Z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