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2000 55</w:t>
      </w:r>
    </w:p>
    <w:p>
      <w:pPr>
        <w:spacing w:line="312" w:lineRule="auto" w:before="390"/>
        <w:ind w:left="100" w:right="839" w:firstLine="0"/>
        <w:jc w:val="left"/>
        <w:rPr>
          <w:b/>
          <w:sz w:val="36"/>
        </w:rPr>
      </w:pPr>
      <w:r>
        <w:rPr>
          <w:b/>
          <w:color w:val="202020"/>
          <w:sz w:val="36"/>
        </w:rPr>
        <w:t>Air Cargo Automation - Changes To The Transmission Of Underbond, Transhipment, And Quarantine Hold Status</w:t>
      </w:r>
    </w:p>
    <w:p>
      <w:pPr>
        <w:pStyle w:val="BodyText"/>
        <w:spacing w:before="159"/>
        <w:ind w:right="12"/>
      </w:pPr>
      <w:r>
        <w:rPr/>
        <w:t>On 16 February 1999, the Australian Customs Service (Customs), with the concurrence of the Australian Quarantine Inspection Service (AQIS), issued Australian Customs Notice 99/17. That Notice introduced revised clearance procedures for specified categories of air cargo reported at the master air waybill (MAWB) level as from 1 March 1999.</w:t>
      </w:r>
    </w:p>
    <w:p>
      <w:pPr>
        <w:pStyle w:val="BodyText"/>
        <w:spacing w:before="9"/>
        <w:ind w:left="0"/>
        <w:rPr>
          <w:sz w:val="17"/>
        </w:rPr>
      </w:pPr>
    </w:p>
    <w:p>
      <w:pPr>
        <w:pStyle w:val="BodyText"/>
      </w:pPr>
      <w:r>
        <w:rPr/>
        <w:t>Customs has now re-programmed the transmission of certain statuses at the MAWB level so that Cargo Terminal Operators (CTOs) should be in possession of these statuses upon cargo discharge.</w:t>
      </w:r>
    </w:p>
    <w:p>
      <w:pPr>
        <w:pStyle w:val="BodyText"/>
        <w:ind w:left="0"/>
        <w:rPr>
          <w:sz w:val="18"/>
        </w:rPr>
      </w:pPr>
    </w:p>
    <w:p>
      <w:pPr>
        <w:pStyle w:val="BodyText"/>
      </w:pPr>
      <w:r>
        <w:rPr/>
        <w:t>Specifically, the following statuses:</w:t>
      </w:r>
    </w:p>
    <w:p>
      <w:pPr>
        <w:pStyle w:val="BodyText"/>
        <w:spacing w:before="1"/>
        <w:ind w:left="0"/>
        <w:rPr>
          <w:sz w:val="18"/>
        </w:rPr>
      </w:pPr>
    </w:p>
    <w:p>
      <w:pPr>
        <w:pStyle w:val="BodyText"/>
        <w:spacing w:line="241" w:lineRule="exact" w:before="1"/>
        <w:ind w:left="393"/>
      </w:pPr>
      <w:r>
        <w:rPr/>
        <w:pict>
          <v:shape style="position:absolute;margin-left:38.75pt;margin-top:5.398877pt;width:3pt;height:3pt;mso-position-horizontal-relative:page;mso-position-vertical-relative:paragraph;z-index:15728640" coordorigin="775,108" coordsize="60,60" path="m805,168l792,166,783,160,777,151,775,138,777,125,783,115,792,110,805,108,818,110,828,115,833,125,835,138,833,151,828,160,818,166,805,168xe" filled="true" fillcolor="#000000" stroked="false">
            <v:path arrowok="t"/>
            <v:fill type="solid"/>
            <w10:wrap type="none"/>
          </v:shape>
        </w:pict>
      </w:r>
      <w:r>
        <w:rPr>
          <w:b/>
        </w:rPr>
        <w:t>A120 </w:t>
      </w:r>
      <w:r>
        <w:rPr/>
        <w:t>(interstate underbond movement)</w:t>
      </w:r>
    </w:p>
    <w:p>
      <w:pPr>
        <w:pStyle w:val="BodyText"/>
        <w:ind w:left="393" w:right="4615"/>
      </w:pPr>
      <w:r>
        <w:rPr/>
        <w:pict>
          <v:shape style="position:absolute;margin-left:38.75pt;margin-top:5.348877pt;width:3pt;height:3pt;mso-position-horizontal-relative:page;mso-position-vertical-relative:paragraph;z-index:15729152" coordorigin="775,107" coordsize="60,60" path="m805,167l792,165,783,159,777,150,775,137,777,124,783,114,792,109,805,107,818,109,828,114,833,124,835,137,833,150,828,159,818,165,805,167xe" filled="true" fillcolor="#000000" stroked="false">
            <v:path arrowok="t"/>
            <v:fill type="solid"/>
            <w10:wrap type="none"/>
          </v:shape>
        </w:pict>
      </w:r>
      <w:r>
        <w:rPr/>
        <w:pict>
          <v:shape style="position:absolute;margin-left:38.75pt;margin-top:17.348877pt;width:3pt;height:3pt;mso-position-horizontal-relative:page;mso-position-vertical-relative:paragraph;z-index:15729664" coordorigin="775,347" coordsize="60,60" path="m805,407l792,405,783,399,777,390,775,377,777,364,783,354,792,349,805,347,818,349,828,354,833,364,835,377,833,390,828,399,818,405,805,407xe" filled="true" fillcolor="#000000" stroked="false">
            <v:path arrowok="t"/>
            <v:fill type="solid"/>
            <w10:wrap type="none"/>
          </v:shape>
        </w:pict>
      </w:r>
      <w:r>
        <w:rPr>
          <w:b/>
        </w:rPr>
        <w:t>A125 </w:t>
      </w:r>
      <w:r>
        <w:rPr/>
        <w:t>(interstate underbond movement, subject to quarantine) </w:t>
      </w:r>
      <w:r>
        <w:rPr>
          <w:b/>
        </w:rPr>
        <w:t>P300 </w:t>
      </w:r>
      <w:r>
        <w:rPr/>
        <w:t>(transhipment)</w:t>
      </w:r>
    </w:p>
    <w:p>
      <w:pPr>
        <w:pStyle w:val="BodyText"/>
        <w:spacing w:line="237" w:lineRule="auto"/>
        <w:ind w:left="393" w:right="6027"/>
      </w:pPr>
      <w:r>
        <w:rPr/>
        <w:pict>
          <v:shape style="position:absolute;margin-left:38.75pt;margin-top:5.250388pt;width:3pt;height:3pt;mso-position-horizontal-relative:page;mso-position-vertical-relative:paragraph;z-index:15730176" coordorigin="775,105" coordsize="60,60" path="m805,165l792,163,783,158,777,148,775,135,777,122,783,113,792,107,805,105,818,107,828,113,833,122,835,135,833,148,828,158,818,163,805,165xe" filled="true" fillcolor="#000000" stroked="false">
            <v:path arrowok="t"/>
            <v:fill type="solid"/>
            <w10:wrap type="none"/>
          </v:shape>
        </w:pict>
      </w:r>
      <w:r>
        <w:rPr/>
        <w:pict>
          <v:shape style="position:absolute;margin-left:38.75pt;margin-top:17.250389pt;width:3pt;height:3pt;mso-position-horizontal-relative:page;mso-position-vertical-relative:paragraph;z-index:15730688" coordorigin="775,345" coordsize="60,60" path="m805,405l792,403,783,398,777,388,775,375,777,362,783,353,792,347,805,345,818,347,828,353,833,362,835,375,833,388,828,398,818,403,805,405xe" filled="true" fillcolor="#000000" stroked="false">
            <v:path arrowok="t"/>
            <v:fill type="solid"/>
            <w10:wrap type="none"/>
          </v:shape>
        </w:pict>
      </w:r>
      <w:r>
        <w:rPr>
          <w:b/>
        </w:rPr>
        <w:t>P305 </w:t>
      </w:r>
      <w:r>
        <w:rPr/>
        <w:t>(transhipment, subject to quarantine)and </w:t>
      </w:r>
      <w:r>
        <w:rPr>
          <w:b/>
        </w:rPr>
        <w:t>P310 </w:t>
      </w:r>
      <w:r>
        <w:rPr/>
        <w:t>(transhipment, quarantine clear)</w:t>
      </w:r>
    </w:p>
    <w:p>
      <w:pPr>
        <w:pStyle w:val="BodyText"/>
        <w:spacing w:before="1"/>
        <w:ind w:left="0"/>
        <w:rPr>
          <w:sz w:val="18"/>
        </w:rPr>
      </w:pPr>
    </w:p>
    <w:p>
      <w:pPr>
        <w:pStyle w:val="BodyText"/>
        <w:ind w:right="297"/>
      </w:pPr>
      <w:r>
        <w:rPr/>
        <w:t>are now transmitted upon application of the status by Customs. That is, transmission of these statuses is contingent upon the time of report rather than flight transmission. Where the expected status has not been returned by Customs prior to flight transmission the CTO should not make any assumptions but await full Air Cargo Automation (ACA) flight transmission.</w:t>
      </w:r>
    </w:p>
    <w:p>
      <w:pPr>
        <w:pStyle w:val="BodyText"/>
        <w:spacing w:before="8"/>
        <w:ind w:left="0"/>
        <w:rPr>
          <w:sz w:val="17"/>
        </w:rPr>
      </w:pPr>
    </w:p>
    <w:p>
      <w:pPr>
        <w:pStyle w:val="BodyText"/>
      </w:pPr>
      <w:r>
        <w:rPr/>
        <w:t>Early transmission is also extended to status </w:t>
      </w:r>
      <w:r>
        <w:rPr>
          <w:b/>
        </w:rPr>
        <w:t>Q600 </w:t>
      </w:r>
      <w:r>
        <w:rPr/>
        <w:t>(AQIS hold cargo hold documents).</w:t>
      </w:r>
    </w:p>
    <w:p>
      <w:pPr>
        <w:pStyle w:val="BodyText"/>
        <w:spacing w:before="2"/>
        <w:ind w:left="0"/>
        <w:rPr>
          <w:sz w:val="18"/>
        </w:rPr>
      </w:pPr>
    </w:p>
    <w:p>
      <w:pPr>
        <w:pStyle w:val="BodyText"/>
        <w:ind w:right="297"/>
      </w:pPr>
      <w:r>
        <w:rPr/>
        <w:t>A condition of the early transmission of these statuses is that those cargo reporters responsible for the report of the MAWBs do not make such reports prior to the departure of the aircraft from the last overseas airport. This condition is fundamental to the continued provision of this new procedure and compliance with the condition will be monitored by Customs.</w:t>
      </w:r>
    </w:p>
    <w:p>
      <w:pPr>
        <w:pStyle w:val="BodyText"/>
        <w:spacing w:before="8"/>
        <w:ind w:left="0"/>
        <w:rPr>
          <w:sz w:val="17"/>
        </w:rPr>
      </w:pPr>
    </w:p>
    <w:p>
      <w:pPr>
        <w:pStyle w:val="BodyText"/>
        <w:spacing w:before="1"/>
        <w:ind w:right="119"/>
      </w:pPr>
      <w:r>
        <w:rPr/>
        <w:t>With the introduction of these new procedures CTOs are now advised that the provisions of ACN 99/17 relating to the anticipation of statuses are hereby withdrawn. CTOs are to continue to provide through ACA a complete report for all cargo at the port of discharge (including "Air-side transfers").</w:t>
      </w:r>
    </w:p>
    <w:p>
      <w:pPr>
        <w:spacing w:line="450" w:lineRule="exact" w:before="42"/>
        <w:ind w:left="100" w:right="4607" w:firstLine="0"/>
        <w:jc w:val="left"/>
        <w:rPr>
          <w:sz w:val="21"/>
        </w:rPr>
      </w:pPr>
      <w:r>
        <w:rPr>
          <w:sz w:val="21"/>
        </w:rPr>
        <w:t>These transmission changes were effective from 22 July 2000. </w:t>
      </w:r>
      <w:r>
        <w:rPr>
          <w:b/>
          <w:sz w:val="21"/>
        </w:rPr>
        <w:t>Any inquiries in relation to this Notice should be directed to: </w:t>
      </w:r>
      <w:r>
        <w:rPr>
          <w:sz w:val="21"/>
        </w:rPr>
        <w:t>Peter Stankiewicz</w:t>
      </w:r>
    </w:p>
    <w:p>
      <w:pPr>
        <w:pStyle w:val="BodyText"/>
        <w:spacing w:line="194" w:lineRule="exact"/>
      </w:pPr>
      <w:r>
        <w:rPr/>
        <w:t>Manager, Air Cargo Policy</w:t>
      </w:r>
    </w:p>
    <w:p>
      <w:pPr>
        <w:pStyle w:val="BodyText"/>
        <w:spacing w:line="241" w:lineRule="exact"/>
      </w:pPr>
      <w:r>
        <w:rPr/>
        <w:t>Border Policy Section</w:t>
      </w:r>
    </w:p>
    <w:p>
      <w:pPr>
        <w:pStyle w:val="BodyText"/>
        <w:spacing w:before="1"/>
        <w:ind w:left="0"/>
        <w:rPr>
          <w:sz w:val="18"/>
        </w:rPr>
      </w:pPr>
    </w:p>
    <w:p>
      <w:pPr>
        <w:pStyle w:val="BodyText"/>
        <w:spacing w:line="241" w:lineRule="exact" w:before="1"/>
      </w:pPr>
      <w:r>
        <w:rPr/>
        <w:t>Phone: 02 9317 7439</w:t>
      </w:r>
    </w:p>
    <w:p>
      <w:pPr>
        <w:pStyle w:val="BodyText"/>
        <w:spacing w:line="240" w:lineRule="exact"/>
      </w:pPr>
      <w:r>
        <w:rPr/>
        <w:t>Fax: 02 93177329</w:t>
      </w:r>
    </w:p>
    <w:p>
      <w:pPr>
        <w:pStyle w:val="BodyText"/>
        <w:spacing w:line="241" w:lineRule="exact"/>
      </w:pPr>
      <w:r>
        <w:rPr/>
        <w:t>E-mail: </w:t>
      </w:r>
      <w:hyperlink r:id="rId5">
        <w:r>
          <w:rPr>
            <w:color w:val="0F64C7"/>
          </w:rPr>
          <w:t>peter.stankiewicz@customs.gov.au</w:t>
        </w:r>
      </w:hyperlink>
    </w:p>
    <w:p>
      <w:pPr>
        <w:pStyle w:val="BodyText"/>
        <w:spacing w:before="1"/>
        <w:ind w:left="0"/>
        <w:rPr>
          <w:sz w:val="18"/>
        </w:rPr>
      </w:pPr>
    </w:p>
    <w:p>
      <w:pPr>
        <w:pStyle w:val="BodyText"/>
        <w:ind w:right="8726"/>
      </w:pPr>
      <w:r>
        <w:rPr/>
        <w:t>Peter Thomson National Director Commercial Division for</w:t>
      </w:r>
    </w:p>
    <w:p>
      <w:pPr>
        <w:pStyle w:val="BodyText"/>
        <w:spacing w:line="446" w:lineRule="auto"/>
        <w:ind w:right="8088"/>
      </w:pPr>
      <w:r>
        <w:rPr/>
        <w:t>Chief Executive Officer June 2000</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peter.stankiewicz@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2020-12-09T22:31:21Z</dcterms:created>
  <dcterms:modified xsi:type="dcterms:W3CDTF">2020-12-09T22:31:21Z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