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40.5pt;margin-top:524.5pt;width:763pt;height:3.5pt;mso-position-horizontal-relative:page;mso-position-vertical-relative:page;z-index:15728640" filled="true" fillcolor="#e8e8e8" stroked="false">
            <v:fill type="solid"/>
            <w10:wrap type="none"/>
          </v:rect>
        </w:pict>
      </w:r>
      <w:r>
        <w:rPr>
          <w:color w:val="202020"/>
        </w:rPr>
        <w:t>Australian Customs Notice 2000 56</w:t>
      </w:r>
    </w:p>
    <w:p>
      <w:pPr>
        <w:spacing w:before="228"/>
        <w:ind w:left="120" w:right="0" w:firstLine="0"/>
        <w:jc w:val="left"/>
        <w:rPr>
          <w:b/>
          <w:sz w:val="24"/>
        </w:rPr>
      </w:pPr>
      <w:r>
        <w:rPr>
          <w:b/>
          <w:color w:val="202020"/>
          <w:sz w:val="24"/>
        </w:rPr>
        <w:t>SECTION 269TD OF THE CUSTOMS ACT 1901 PRELIMINARY AFFIRMATIVE DETERMINATION AND</w:t>
      </w:r>
    </w:p>
    <w:p>
      <w:pPr>
        <w:spacing w:before="84"/>
        <w:ind w:left="120" w:right="0" w:firstLine="0"/>
        <w:jc w:val="left"/>
        <w:rPr>
          <w:b/>
          <w:sz w:val="24"/>
        </w:rPr>
      </w:pPr>
      <w:r>
        <w:rPr>
          <w:b/>
          <w:color w:val="202020"/>
          <w:sz w:val="24"/>
        </w:rPr>
        <w:t>IMPOSITION OF SECURITIES CERTAIN WOUND/SKIN CLOSURE STRIPS FROM GERMANY</w:t>
      </w:r>
    </w:p>
    <w:p>
      <w:pPr>
        <w:pStyle w:val="BodyText"/>
        <w:spacing w:before="188"/>
        <w:ind w:right="2232"/>
        <w:jc w:val="both"/>
      </w:pPr>
      <w:r>
        <w:rPr/>
        <w:t>On 13 September 2000 the Australian Customs Service (Customs) commenced an investigation into the alleged dumping of certain wound/skin closure strips exported to Australia from Germany by Beiersdorf AG. Customs initiated the investigation following receipt of an application by Surgi Supplies International Pty Ltd, the sole Australian manufacturer of wound/skin closure strips. The goods are classified to subheading 3005.10.00 statistical code 23 of the </w:t>
      </w:r>
      <w:r>
        <w:rPr>
          <w:i/>
        </w:rPr>
        <w:t>Customs Tariff Act </w:t>
      </w:r>
      <w:r>
        <w:rPr/>
        <w:t>1995. The rate of duty is 5%.</w:t>
      </w:r>
    </w:p>
    <w:p>
      <w:pPr>
        <w:pStyle w:val="BodyText"/>
        <w:spacing w:before="137"/>
        <w:jc w:val="both"/>
      </w:pPr>
      <w:r>
        <w:rPr/>
        <w:t>In accordance with s.269TD of the Act, I am satisfied that there appears to be sufficient grounds for the publication of a dumping duty notice.</w:t>
      </w:r>
    </w:p>
    <w:p>
      <w:pPr>
        <w:pStyle w:val="BodyText"/>
        <w:ind w:right="2186"/>
        <w:jc w:val="both"/>
      </w:pPr>
      <w:r>
        <w:rPr/>
        <w:t>In order to prevent material injury occurring to the Australian industry while the investigation continues, securities under s. 42 of the Customs Act will be required in respect of any interim dumping duty that may become payable in respect of the goods exported from Germany.</w:t>
      </w:r>
    </w:p>
    <w:p>
      <w:pPr>
        <w:pStyle w:val="BodyText"/>
        <w:spacing w:before="138"/>
        <w:jc w:val="both"/>
      </w:pPr>
      <w:r>
        <w:rPr/>
        <w:t>Particulars of the dumping margin established and the method used to establish that margin are set out below:</w:t>
      </w:r>
    </w:p>
    <w:p>
      <w:pPr>
        <w:pStyle w:val="BodyText"/>
        <w:spacing w:before="2"/>
        <w:ind w:left="0"/>
        <w:rPr>
          <w:sz w:val="12"/>
        </w:rPr>
      </w:pPr>
    </w:p>
    <w:tbl>
      <w:tblPr>
        <w:tblW w:w="0" w:type="auto"/>
        <w:jc w:val="left"/>
        <w:tblInd w:w="13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540"/>
        <w:gridCol w:w="1190"/>
        <w:gridCol w:w="1470"/>
        <w:gridCol w:w="7335"/>
      </w:tblGrid>
      <w:tr>
        <w:trPr>
          <w:trHeight w:val="440" w:hRule="atLeast"/>
        </w:trPr>
        <w:tc>
          <w:tcPr>
            <w:tcW w:w="1540" w:type="dxa"/>
            <w:tcBorders>
              <w:left w:val="single" w:sz="4" w:space="0" w:color="808080"/>
            </w:tcBorders>
          </w:tcPr>
          <w:p>
            <w:pPr>
              <w:pStyle w:val="TableParagraph"/>
              <w:rPr>
                <w:b/>
                <w:sz w:val="14"/>
              </w:rPr>
            </w:pPr>
            <w:r>
              <w:rPr>
                <w:b/>
                <w:color w:val="202020"/>
                <w:sz w:val="14"/>
              </w:rPr>
              <w:t>Country of export</w:t>
            </w:r>
          </w:p>
        </w:tc>
        <w:tc>
          <w:tcPr>
            <w:tcW w:w="1190" w:type="dxa"/>
          </w:tcPr>
          <w:p>
            <w:pPr>
              <w:pStyle w:val="TableParagraph"/>
              <w:rPr>
                <w:b/>
                <w:sz w:val="14"/>
              </w:rPr>
            </w:pPr>
            <w:r>
              <w:rPr>
                <w:b/>
                <w:color w:val="202020"/>
                <w:sz w:val="14"/>
              </w:rPr>
              <w:t>Exporter</w:t>
            </w:r>
          </w:p>
        </w:tc>
        <w:tc>
          <w:tcPr>
            <w:tcW w:w="1470" w:type="dxa"/>
          </w:tcPr>
          <w:p>
            <w:pPr>
              <w:pStyle w:val="TableParagraph"/>
              <w:rPr>
                <w:b/>
                <w:sz w:val="14"/>
              </w:rPr>
            </w:pPr>
            <w:r>
              <w:rPr>
                <w:b/>
                <w:color w:val="202020"/>
                <w:sz w:val="14"/>
              </w:rPr>
              <w:t>Dumping margin</w:t>
            </w:r>
          </w:p>
        </w:tc>
        <w:tc>
          <w:tcPr>
            <w:tcW w:w="7335" w:type="dxa"/>
            <w:tcBorders>
              <w:right w:val="nil"/>
            </w:tcBorders>
          </w:tcPr>
          <w:p>
            <w:pPr>
              <w:pStyle w:val="TableParagraph"/>
              <w:rPr>
                <w:b/>
                <w:sz w:val="14"/>
              </w:rPr>
            </w:pPr>
            <w:r>
              <w:rPr>
                <w:b/>
                <w:color w:val="202020"/>
                <w:sz w:val="14"/>
              </w:rPr>
              <w:t>Method used to establish margin</w:t>
            </w:r>
          </w:p>
        </w:tc>
      </w:tr>
      <w:tr>
        <w:trPr>
          <w:trHeight w:val="440" w:hRule="atLeast"/>
        </w:trPr>
        <w:tc>
          <w:tcPr>
            <w:tcW w:w="1540" w:type="dxa"/>
            <w:tcBorders>
              <w:left w:val="single" w:sz="4" w:space="0" w:color="808080"/>
            </w:tcBorders>
          </w:tcPr>
          <w:p>
            <w:pPr>
              <w:pStyle w:val="TableParagraph"/>
              <w:rPr>
                <w:sz w:val="14"/>
              </w:rPr>
            </w:pPr>
            <w:r>
              <w:rPr>
                <w:color w:val="202020"/>
                <w:sz w:val="14"/>
              </w:rPr>
              <w:t>Germany</w:t>
            </w:r>
          </w:p>
        </w:tc>
        <w:tc>
          <w:tcPr>
            <w:tcW w:w="1190" w:type="dxa"/>
          </w:tcPr>
          <w:p>
            <w:pPr>
              <w:pStyle w:val="TableParagraph"/>
              <w:rPr>
                <w:sz w:val="14"/>
              </w:rPr>
            </w:pPr>
            <w:r>
              <w:rPr>
                <w:color w:val="202020"/>
                <w:sz w:val="14"/>
              </w:rPr>
              <w:t>Beiersdorf AG</w:t>
            </w:r>
          </w:p>
        </w:tc>
        <w:tc>
          <w:tcPr>
            <w:tcW w:w="1470" w:type="dxa"/>
          </w:tcPr>
          <w:p>
            <w:pPr>
              <w:pStyle w:val="TableParagraph"/>
              <w:ind w:left="74"/>
              <w:rPr>
                <w:sz w:val="14"/>
              </w:rPr>
            </w:pPr>
            <w:r>
              <w:rPr>
                <w:color w:val="202020"/>
                <w:sz w:val="14"/>
              </w:rPr>
              <w:t>580%</w:t>
            </w:r>
          </w:p>
        </w:tc>
        <w:tc>
          <w:tcPr>
            <w:tcW w:w="7335" w:type="dxa"/>
            <w:tcBorders>
              <w:right w:val="nil"/>
            </w:tcBorders>
          </w:tcPr>
          <w:p>
            <w:pPr>
              <w:pStyle w:val="TableParagraph"/>
              <w:rPr>
                <w:sz w:val="14"/>
              </w:rPr>
            </w:pPr>
            <w:r>
              <w:rPr>
                <w:color w:val="202020"/>
                <w:sz w:val="14"/>
              </w:rPr>
              <w:t>A comparison of the weighted average normal value to weighted average export price for all models</w:t>
            </w:r>
          </w:p>
        </w:tc>
      </w:tr>
    </w:tbl>
    <w:p>
      <w:pPr>
        <w:pStyle w:val="BodyText"/>
        <w:spacing w:before="138"/>
        <w:ind w:right="2176"/>
      </w:pPr>
      <w:r>
        <w:rPr/>
        <w:t>Due to the size of the dumping margin, Customs considers it likely that any interim dumping duty that may become payable would be calculated by reference to the non-injurious price of the goods exported to Australia. Customs has, therefore, based the amount of securities payable on the difference between an estimate of weighted average non-injurious price and the weighted average export price.</w:t>
      </w:r>
    </w:p>
    <w:p>
      <w:pPr>
        <w:pStyle w:val="BodyText"/>
        <w:spacing w:line="446" w:lineRule="auto" w:before="137"/>
        <w:ind w:right="9257"/>
      </w:pPr>
      <w:r>
        <w:rPr/>
        <w:t>The actual amount of the security is not published, as it is confidential. In reaching this determination, Customs found that:</w:t>
      </w:r>
    </w:p>
    <w:p>
      <w:pPr>
        <w:pStyle w:val="BodyText"/>
        <w:spacing w:before="2"/>
        <w:ind w:left="315"/>
      </w:pPr>
      <w:r>
        <w:rPr/>
        <w:pict>
          <v:shape style="position:absolute;margin-left:42.5pt;margin-top:3.665918pt;width:2pt;height:2pt;mso-position-horizontal-relative:page;mso-position-vertical-relative:paragraph;z-index:15729152" coordorigin="850,73" coordsize="40,40" path="m883,113l857,113,850,107,850,80,857,73,883,73,890,80,890,93,890,107,883,113xe" filled="true" fillcolor="#000000" stroked="false">
            <v:path arrowok="t"/>
            <v:fill type="solid"/>
            <w10:wrap type="none"/>
          </v:shape>
        </w:pict>
      </w:r>
      <w:r>
        <w:rPr/>
        <w:t>imports of wound closure strips from Germany are dumped;</w:t>
      </w:r>
    </w:p>
    <w:p>
      <w:pPr>
        <w:pStyle w:val="BodyText"/>
        <w:ind w:left="315"/>
      </w:pPr>
      <w:r>
        <w:rPr/>
        <w:pict>
          <v:shape style="position:absolute;margin-left:42.5pt;margin-top:10.515918pt;width:2pt;height:2pt;mso-position-horizontal-relative:page;mso-position-vertical-relative:paragraph;z-index:15729664" coordorigin="850,210" coordsize="40,40" path="m883,250l857,250,850,244,850,217,857,210,883,210,890,217,890,230,890,244,883,250xe" filled="true" fillcolor="#000000" stroked="false">
            <v:path arrowok="t"/>
            <v:fill type="solid"/>
            <w10:wrap type="none"/>
          </v:shape>
        </w:pict>
      </w:r>
      <w:r>
        <w:rPr/>
        <w:t>there appears to be a threat of material injury to the Australian industry; and</w:t>
      </w:r>
    </w:p>
    <w:p>
      <w:pPr>
        <w:pStyle w:val="BodyText"/>
        <w:ind w:left="315"/>
      </w:pPr>
      <w:r>
        <w:rPr/>
        <w:pict>
          <v:shape style="position:absolute;margin-left:42.5pt;margin-top:10.515918pt;width:2pt;height:2pt;mso-position-horizontal-relative:page;mso-position-vertical-relative:paragraph;z-index:15730176" coordorigin="850,210" coordsize="40,40" path="m883,250l857,250,850,244,850,217,857,210,883,210,890,217,890,230,890,244,883,250xe" filled="true" fillcolor="#000000" stroked="false">
            <v:path arrowok="t"/>
            <v:fill type="solid"/>
            <w10:wrap type="none"/>
          </v:shape>
        </w:pict>
      </w:r>
      <w:r>
        <w:rPr/>
        <w:t>there appears to be a causal link between the dumping of wound closure strips from Germany and the threat of material injury to the Australian industry.</w:t>
      </w:r>
    </w:p>
    <w:p>
      <w:pPr>
        <w:pStyle w:val="BodyText"/>
        <w:ind w:left="119" w:right="1648"/>
      </w:pPr>
      <w:r>
        <w:rPr/>
        <w:t>The details of the reasons for this determination are set out in a report which has been placed on the public file. The report may also be obtained by contacting the case officer, Mr Michael Kenna, on telephone number (02) 6275 6544, or Mr Phil Hilyard on telephone number (02) 6275 6057.</w:t>
      </w:r>
    </w:p>
    <w:p>
      <w:pPr>
        <w:pStyle w:val="BodyText"/>
        <w:spacing w:before="138"/>
        <w:ind w:left="119" w:right="2488"/>
      </w:pPr>
      <w:r>
        <w:rPr/>
        <w:t>A statement of essential facts will be placed on the public record by 1 January 2001. The statement will contain material findings of fact on which Customs proposes to base its final recommendation to the minister. Interested parties have an opportunity to respond to the statement at that time.</w:t>
      </w:r>
    </w:p>
    <w:p>
      <w:pPr>
        <w:pStyle w:val="BodyText"/>
        <w:spacing w:before="138"/>
        <w:ind w:left="119" w:right="2231"/>
      </w:pPr>
      <w:r>
        <w:rPr/>
        <w:t>Customs is due to report to the minister on 15 February 2001. The minister will then decide whether measures are to be imposed and if so, the level of the measures. Depending on the minister's decision, preliminary measures may be converted to interim duty or refunded.</w:t>
      </w:r>
    </w:p>
    <w:p>
      <w:pPr>
        <w:pStyle w:val="BodyText"/>
        <w:spacing w:line="446" w:lineRule="auto" w:before="138"/>
        <w:ind w:left="119" w:right="2176"/>
      </w:pPr>
      <w:r>
        <w:rPr/>
        <w:t>Enquiries concerning this notice may be directed to Mr Michael Kenna on telephone number (02) 6275 6544 or fax number (02) 6275 6990, or email </w:t>
      </w:r>
      <w:hyperlink r:id="rId5">
        <w:r>
          <w:rPr>
            <w:color w:val="0F64C7"/>
          </w:rPr>
          <w:t>michael.kenna@customs.gov.au</w:t>
        </w:r>
      </w:hyperlink>
      <w:r>
        <w:rPr/>
        <w:t>. SUE PITMAN National Manager Trade Measures Branch CANBERRA ACT 2601</w:t>
      </w:r>
    </w:p>
    <w:p>
      <w:pPr>
        <w:pStyle w:val="BodyText"/>
        <w:spacing w:before="1"/>
        <w:ind w:left="119"/>
      </w:pPr>
      <w:r>
        <w:rPr/>
        <w:t>28 November 2000</w:t>
      </w:r>
    </w:p>
    <w:sectPr>
      <w:type w:val="continuous"/>
      <w:pgSz w:w="16840" w:h="11900" w:orient="landscape"/>
      <w:pgMar w:top="760" w:bottom="280" w:left="68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9"/>
      <w:ind w:left="120"/>
    </w:pPr>
    <w:rPr>
      <w:rFonts w:ascii="Arial" w:hAnsi="Arial" w:eastAsia="Arial" w:cs="Arial"/>
      <w:sz w:val="14"/>
      <w:szCs w:val="14"/>
    </w:rPr>
  </w:style>
  <w:style w:styleId="Title" w:type="paragraph">
    <w:name w:val="Title"/>
    <w:basedOn w:val="Normal"/>
    <w:uiPriority w:val="1"/>
    <w:qFormat/>
    <w:pPr>
      <w:spacing w:before="76"/>
      <w:ind w:left="120"/>
    </w:pPr>
    <w:rPr>
      <w:rFonts w:ascii="Arial" w:hAnsi="Arial" w:eastAsia="Arial" w:cs="Arial"/>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chael.kenna@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2020-12-09T22:34:14Z</dcterms:created>
  <dcterms:modified xsi:type="dcterms:W3CDTF">2020-12-09T22:34:14Z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