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18</w:t>
      </w:r>
    </w:p>
    <w:p>
      <w:pPr>
        <w:spacing w:line="312" w:lineRule="auto" w:before="390"/>
        <w:ind w:left="100" w:right="619" w:firstLine="0"/>
        <w:jc w:val="left"/>
        <w:rPr>
          <w:b/>
          <w:sz w:val="36"/>
        </w:rPr>
      </w:pPr>
      <w:r>
        <w:rPr>
          <w:b/>
          <w:color w:val="202020"/>
          <w:sz w:val="36"/>
        </w:rPr>
        <w:t>CUSTOMS ACT 1901 - PART XVB CERTAIN GALVANISED STEEL PIPE EXPORTED FROM THAILAND BY COTCO-SV EASTERN STEEL PIPE LTD FINDING</w:t>
      </w:r>
    </w:p>
    <w:p>
      <w:pPr>
        <w:pStyle w:val="BodyText"/>
        <w:spacing w:before="2"/>
        <w:rPr>
          <w:b/>
          <w:sz w:val="53"/>
        </w:rPr>
      </w:pPr>
    </w:p>
    <w:p>
      <w:pPr>
        <w:pStyle w:val="BodyText"/>
        <w:ind w:left="100" w:right="184"/>
      </w:pPr>
      <w:r>
        <w:rPr/>
        <w:t>The Australian Customs Service (Customs) has completed its accelerated review of the dumping duty notice applying to certain galvanised steel pipe exported to Australia from Thailand by COTCO-SV Eastern Steel Pipe Ltd (COTCO).</w:t>
      </w:r>
    </w:p>
    <w:p>
      <w:pPr>
        <w:pStyle w:val="BodyText"/>
        <w:spacing w:before="7"/>
        <w:rPr>
          <w:sz w:val="20"/>
        </w:rPr>
      </w:pPr>
    </w:p>
    <w:p>
      <w:pPr>
        <w:pStyle w:val="BodyText"/>
        <w:spacing w:line="450" w:lineRule="atLeast"/>
        <w:ind w:left="393" w:right="1509" w:hanging="294"/>
      </w:pPr>
      <w:r>
        <w:rPr/>
        <w:pict>
          <v:shape style="position:absolute;margin-left:38.75pt;margin-top:38.274902pt;width:3pt;height:3pt;mso-position-horizontal-relative:page;mso-position-vertical-relative:paragraph;z-index:-15755776" coordorigin="775,765" coordsize="60,60" path="m805,825l792,824,783,818,777,809,775,795,777,782,783,773,792,767,805,765,818,767,828,773,833,782,835,795,833,809,828,818,818,824,805,825xe" filled="true" fillcolor="#000000" stroked="false">
            <v:path arrowok="t"/>
            <v:fill type="solid"/>
            <w10:wrap type="none"/>
          </v:shape>
        </w:pict>
      </w:r>
      <w:r>
        <w:rPr/>
        <w:t>In Trade Measures Report No.37 Customs, having regard to the available evidence, found: export prices for COTCO are different to those previously ascertained;</w:t>
      </w:r>
    </w:p>
    <w:p>
      <w:pPr>
        <w:pStyle w:val="BodyText"/>
        <w:ind w:left="393" w:right="3569"/>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664" coordorigin="775,347" coordsize="60,60" path="m805,407l792,405,783,399,777,390,775,377,777,364,783,354,792,349,805,347,818,349,828,354,833,364,835,377,833,390,828,399,818,405,805,407xe" filled="true" fillcolor="#000000" stroked="false">
            <v:path arrowok="t"/>
            <v:fill type="solid"/>
            <w10:wrap type="none"/>
          </v:shape>
        </w:pict>
      </w:r>
      <w:r>
        <w:rPr/>
        <w:t>normal values for COTCO are different to those previously ascertained; the goods under review have been dumped; and</w:t>
      </w:r>
    </w:p>
    <w:p>
      <w:pPr>
        <w:pStyle w:val="BodyText"/>
        <w:spacing w:line="239" w:lineRule="exact"/>
        <w:ind w:left="393"/>
      </w:pPr>
      <w:r>
        <w:rPr/>
        <w:pict>
          <v:shape style="position:absolute;margin-left:38.75pt;margin-top:5.200928pt;width:3pt;height:3pt;mso-position-horizontal-relative:page;mso-position-vertical-relative:paragraph;z-index:15730176" coordorigin="775,104" coordsize="60,60" path="m805,164l792,162,783,157,777,147,775,134,777,121,783,112,792,106,805,104,818,106,828,112,833,121,835,134,833,147,828,157,818,162,805,164xe" filled="true" fillcolor="#000000" stroked="false">
            <v:path arrowok="t"/>
            <v:fill type="solid"/>
            <w10:wrap type="none"/>
          </v:shape>
        </w:pict>
      </w:r>
      <w:r>
        <w:rPr/>
        <w:t>no evidence to suggest that the NIP for COTCO is different to that previously ascertained.</w:t>
      </w:r>
    </w:p>
    <w:p>
      <w:pPr>
        <w:pStyle w:val="BodyText"/>
        <w:rPr>
          <w:sz w:val="22"/>
        </w:rPr>
      </w:pPr>
    </w:p>
    <w:p>
      <w:pPr>
        <w:pStyle w:val="BodyText"/>
        <w:rPr>
          <w:sz w:val="22"/>
        </w:rPr>
      </w:pPr>
    </w:p>
    <w:p>
      <w:pPr>
        <w:pStyle w:val="BodyText"/>
        <w:rPr>
          <w:sz w:val="22"/>
        </w:rPr>
      </w:pPr>
    </w:p>
    <w:p>
      <w:pPr>
        <w:pStyle w:val="BodyText"/>
        <w:spacing w:line="241" w:lineRule="exact" w:before="138"/>
        <w:ind w:left="100"/>
      </w:pPr>
      <w:r>
        <w:rPr/>
        <w:t>The Minister accepts the recommendations from Customs and pursuant to subsection 269ZG(3)(b) of</w:t>
      </w:r>
    </w:p>
    <w:p>
      <w:pPr>
        <w:pStyle w:val="BodyText"/>
        <w:ind w:left="100" w:right="184"/>
      </w:pPr>
      <w:r>
        <w:rPr/>
        <w:t>the </w:t>
      </w:r>
      <w:r>
        <w:rPr>
          <w:i/>
        </w:rPr>
        <w:t>Customs Act 1901 </w:t>
      </w:r>
      <w:r>
        <w:rPr/>
        <w:t>declares that, with effect from the date the application was lodged, the </w:t>
      </w:r>
      <w:r>
        <w:rPr>
          <w:i/>
        </w:rPr>
        <w:t>Customs Act 1901 </w:t>
      </w:r>
      <w:r>
        <w:rPr/>
        <w:t>and the </w:t>
      </w:r>
      <w:r>
        <w:rPr>
          <w:i/>
        </w:rPr>
        <w:t>Customs Tariff (Anti-Dumping</w:t>
      </w:r>
      <w:r>
        <w:rPr/>
        <w:t>) </w:t>
      </w:r>
      <w:r>
        <w:rPr>
          <w:i/>
        </w:rPr>
        <w:t>Act 1975 </w:t>
      </w:r>
      <w:r>
        <w:rPr/>
        <w:t>have effect as if the original dumping duty notice had applied to the applicant but the Minister had fixed different export prices and normal values relevant to the determination of duty payable by the applicant.</w:t>
      </w:r>
    </w:p>
    <w:p>
      <w:pPr>
        <w:pStyle w:val="BodyText"/>
        <w:rPr>
          <w:sz w:val="22"/>
        </w:rPr>
      </w:pPr>
    </w:p>
    <w:p>
      <w:pPr>
        <w:pStyle w:val="BodyText"/>
        <w:spacing w:before="190"/>
        <w:ind w:left="100" w:right="312"/>
      </w:pPr>
      <w:r>
        <w:rPr/>
        <w:t>The result of the declaration is that dumping duties continue to apply to certain galvanised steel pipe exported from Thailand by COTCO, but at a higher rate of dumping duty. Customs will not publicise export prices and normal values as they may reveal confidential details of the company concerned.</w:t>
      </w:r>
    </w:p>
    <w:p>
      <w:pPr>
        <w:pStyle w:val="BodyText"/>
        <w:rPr>
          <w:sz w:val="22"/>
        </w:rPr>
      </w:pPr>
    </w:p>
    <w:p>
      <w:pPr>
        <w:pStyle w:val="BodyText"/>
        <w:spacing w:before="193"/>
        <w:ind w:left="100"/>
      </w:pPr>
      <w:r>
        <w:rPr/>
        <w:t>Report No. 37 contains the reasons for Customs recommendations and is available on request from Trade Measures Office Management, Australian Customs Service, Canberra, telephone (02) 6275 6057</w:t>
      </w:r>
    </w:p>
    <w:p>
      <w:pPr>
        <w:pStyle w:val="BodyText"/>
        <w:rPr>
          <w:sz w:val="18"/>
        </w:rPr>
      </w:pPr>
    </w:p>
    <w:p>
      <w:pPr>
        <w:pStyle w:val="BodyText"/>
        <w:ind w:left="100"/>
      </w:pPr>
      <w:r>
        <w:rPr/>
        <w:t>Enquiries about this notice may be directed to Justin Wickes, Trade Measures Branch, Operations 5 on 02 6275 6346 or by fax on 02 6275 6440.</w:t>
      </w:r>
    </w:p>
    <w:p>
      <w:pPr>
        <w:pStyle w:val="BodyText"/>
        <w:rPr>
          <w:sz w:val="22"/>
        </w:rPr>
      </w:pPr>
    </w:p>
    <w:p>
      <w:pPr>
        <w:pStyle w:val="BodyText"/>
        <w:spacing w:line="241" w:lineRule="exact" w:before="194"/>
        <w:ind w:left="100"/>
      </w:pPr>
      <w:r>
        <w:rPr/>
        <w:t>SUE PITMAN</w:t>
      </w:r>
    </w:p>
    <w:p>
      <w:pPr>
        <w:pStyle w:val="BodyText"/>
        <w:ind w:left="100" w:right="8253"/>
      </w:pPr>
      <w:r>
        <w:rPr/>
        <w:t>National Manager Trade Measures </w:t>
      </w:r>
      <w:r>
        <w:rPr>
          <w:spacing w:val="-3"/>
        </w:rPr>
        <w:t>Branch </w:t>
      </w:r>
      <w:r>
        <w:rPr/>
        <w:t>CANBERRA ACT</w:t>
      </w:r>
    </w:p>
    <w:p>
      <w:pPr>
        <w:pStyle w:val="BodyText"/>
        <w:spacing w:before="9"/>
        <w:rPr>
          <w:sz w:val="17"/>
        </w:rPr>
      </w:pPr>
    </w:p>
    <w:p>
      <w:pPr>
        <w:pStyle w:val="BodyText"/>
        <w:ind w:left="100"/>
      </w:pPr>
      <w:r>
        <w:rPr/>
        <w:t>9 March 2001</w:t>
      </w:r>
    </w:p>
    <w:sectPr>
      <w:type w:val="continuous"/>
      <w:pgSz w:w="11900" w:h="16840"/>
      <w:pgMar w:top="700" w:bottom="280" w:left="6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2020-12-09T23:10:07Z</dcterms:created>
  <dcterms:modified xsi:type="dcterms:W3CDTF">2020-12-09T23:10:07Z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