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34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AMENDMENT ACT (NO. 1) 2001 CUSTOMS TARIFF AMENDMENT ACT (NO. 2) 2001</w:t>
      </w:r>
    </w:p>
    <w:p>
      <w:pPr>
        <w:spacing w:before="159"/>
        <w:ind w:left="100" w:right="41" w:firstLine="0"/>
        <w:jc w:val="left"/>
        <w:rPr>
          <w:sz w:val="21"/>
        </w:rPr>
      </w:pPr>
      <w:r>
        <w:rPr>
          <w:i/>
          <w:sz w:val="21"/>
        </w:rPr>
        <w:t>Customs Tariff Amendment Act (No. 1) 2001 </w:t>
      </w:r>
      <w:r>
        <w:rPr>
          <w:sz w:val="21"/>
        </w:rPr>
        <w:t>- Act No. 26 of 2001 - received the Royal Assent on 6 April 2001. It amends the </w:t>
      </w:r>
      <w:r>
        <w:rPr>
          <w:i/>
          <w:sz w:val="21"/>
        </w:rPr>
        <w:t>Customs Tariff Act 1995 </w:t>
      </w:r>
      <w:r>
        <w:rPr>
          <w:sz w:val="21"/>
        </w:rPr>
        <w:t>(the Tariff) by enacting changes previously included in the following Customs Tariff Proposals: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393" w:right="107"/>
      </w:pPr>
      <w:r>
        <w:rPr/>
        <w:pict>
          <v:shape style="position:absolute;margin-left:38.75pt;margin-top:5.398877pt;width:3pt;height:3pt;mso-position-horizontal-relative:page;mso-position-vertical-relative:paragraph;z-index:15728640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t>No. 5 (2000) - Reduced Customs duty rates to Free for 30 tariff subheadings, in connection with the</w:t>
      </w:r>
      <w:r>
        <w:rPr>
          <w:spacing w:val="-21"/>
        </w:rPr>
        <w:t> </w:t>
      </w:r>
      <w:r>
        <w:rPr/>
        <w:t>settlement of the Howe Leather trade dispute; added Angola and Madagascar to the list of Least Developed Countries in Part 3 of Schedule 1 to the </w:t>
      </w:r>
      <w:r>
        <w:rPr>
          <w:spacing w:val="-4"/>
        </w:rPr>
        <w:t>Tariff; </w:t>
      </w:r>
      <w:r>
        <w:rPr/>
        <w:t>and provided transitional arrangements for use of import credits earned under the </w:t>
      </w:r>
      <w:r>
        <w:rPr>
          <w:spacing w:val="-3"/>
        </w:rPr>
        <w:t>Textiles, </w:t>
      </w:r>
      <w:r>
        <w:rPr/>
        <w:t>Clothing and Footwear Import Credit Scheme - ACN 2000/47 refers;</w:t>
      </w:r>
      <w:r>
        <w:rPr>
          <w:spacing w:val="3"/>
        </w:rPr>
        <w:t> </w:t>
      </w:r>
      <w:r>
        <w:rPr/>
        <w:t>and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393" w:right="611"/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6 (2000) - Implemented amendments to items 17 and 17A of Schedule 4 (re-imported goods) and re- instated duty on tariff subheading 7019.40.00 (woven fabrics of glass rovings).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>
          <w:i/>
        </w:rPr>
        <w:t>Customs Tariff Amendment Act (No. 2) 2001 </w:t>
      </w:r>
      <w:r>
        <w:rPr/>
        <w:t>- Act No. 40 of 2001 - received the Royal Assent on 14 May 2001. It amends the Tariff by enacting changes previously included in the following Customs Tariff Proposals:</w:t>
      </w:r>
    </w:p>
    <w:p>
      <w:pPr>
        <w:pStyle w:val="BodyText"/>
        <w:rPr>
          <w:sz w:val="18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9664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2 (2000) - Introduced changes to Chapter 22 of the Tariff (alcoholic beverages) to implement the Government's alcohol tax reforms under "A New Tax System" - ACN 2000/45 refers;</w:t>
      </w:r>
    </w:p>
    <w:p>
      <w:pPr>
        <w:pStyle w:val="BodyText"/>
        <w:rPr>
          <w:sz w:val="18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30176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3 (2000) - Increased customs duty on aviation turbine fuel (avtur) to give effect to a measure announced in the year 2000 Budget - ACN 2000/44 refers;</w:t>
      </w:r>
    </w:p>
    <w:p>
      <w:pPr>
        <w:pStyle w:val="BodyText"/>
        <w:rPr>
          <w:sz w:val="18"/>
        </w:rPr>
      </w:pPr>
    </w:p>
    <w:p>
      <w:pPr>
        <w:pStyle w:val="BodyText"/>
        <w:ind w:left="393" w:right="250"/>
      </w:pPr>
      <w:r>
        <w:rPr/>
        <w:pict>
          <v:shape style="position:absolute;margin-left:38.75pt;margin-top:5.348877pt;width:3pt;height:3pt;mso-position-horizontal-relative:page;mso-position-vertical-relative:paragraph;z-index:15730688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4 (2000) - Implemented new customs rates of duty for petrol, diesel fuel and other petroleum products, in connection with the commencement of the Goods and Services Tax legislation - ACN 2000/46 refers;</w:t>
      </w:r>
    </w:p>
    <w:p>
      <w:pPr>
        <w:pStyle w:val="BodyText"/>
        <w:rPr>
          <w:sz w:val="18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3120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2 (2001) - Reduced customs duty rates for petrol, diesel fuel and other petroleum products, effective 2 March 2001 - ACN 2001/20 refers; and</w:t>
      </w:r>
    </w:p>
    <w:p>
      <w:pPr>
        <w:pStyle w:val="BodyText"/>
        <w:rPr>
          <w:sz w:val="18"/>
        </w:rPr>
      </w:pPr>
    </w:p>
    <w:p>
      <w:pPr>
        <w:pStyle w:val="BodyText"/>
        <w:ind w:left="393" w:right="588"/>
      </w:pPr>
      <w:r>
        <w:rPr/>
        <w:pict>
          <v:shape style="position:absolute;margin-left:38.75pt;margin-top:5.348877pt;width:3pt;height:3pt;mso-position-horizontal-relative:page;mso-position-vertical-relative:paragraph;z-index:1573171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3 (2001) - Reduced customs duty rates for beer packaged in individual containers exceeding 48 litres (draught beer), effective 4 April 2001 - ACN 2001/23 refers.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100" w:right="611"/>
      </w:pPr>
      <w:r>
        <w:rPr/>
        <w:t>Tariff reprint pages relevant to these amendments were issued at the time the Proposals were tabled in Parliament.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 w:right="218"/>
        <w:jc w:val="both"/>
      </w:pPr>
      <w:r>
        <w:rPr>
          <w:i/>
        </w:rPr>
        <w:t>Customs </w:t>
      </w:r>
      <w:r>
        <w:rPr>
          <w:i/>
          <w:spacing w:val="-4"/>
        </w:rPr>
        <w:t>Tariff </w:t>
      </w:r>
      <w:r>
        <w:rPr>
          <w:i/>
        </w:rPr>
        <w:t>Amendment Act (No. 2) 2001 </w:t>
      </w:r>
      <w:r>
        <w:rPr/>
        <w:t>also amended the text of Chapter 22 Additional Note 3 (definition </w:t>
      </w:r>
      <w:r>
        <w:rPr>
          <w:spacing w:val="-8"/>
        </w:rPr>
        <w:t>of </w:t>
      </w:r>
      <w:r>
        <w:rPr/>
        <w:t>"grape wine") to reflect the drafting style of the other Additional Notes in that Chapter. </w:t>
      </w:r>
      <w:r>
        <w:rPr>
          <w:spacing w:val="-5"/>
        </w:rPr>
        <w:t>Tariff </w:t>
      </w:r>
      <w:r>
        <w:rPr/>
        <w:t>reprint page Chapter 22/1 (R. 2) has been issued to reflect this change.</w:t>
      </w:r>
    </w:p>
    <w:p>
      <w:pPr>
        <w:pStyle w:val="BodyText"/>
        <w:spacing w:line="450" w:lineRule="exact" w:before="43"/>
        <w:ind w:left="100" w:right="2614"/>
        <w:jc w:val="both"/>
      </w:pPr>
      <w:r>
        <w:rPr/>
        <w:t>Any queries on these changes should be directed to Nick Blackaby on (02) 6275 6506. Tom Marshall</w:t>
      </w:r>
    </w:p>
    <w:p>
      <w:pPr>
        <w:pStyle w:val="BodyText"/>
        <w:spacing w:line="194" w:lineRule="exact"/>
        <w:ind w:left="100"/>
      </w:pPr>
      <w:r>
        <w:rPr/>
        <w:t>National Manager</w:t>
      </w:r>
    </w:p>
    <w:p>
      <w:pPr>
        <w:pStyle w:val="BodyText"/>
        <w:ind w:left="100" w:right="9232"/>
      </w:pPr>
      <w:r>
        <w:rPr/>
        <w:t>Tariff Branch for</w:t>
      </w:r>
    </w:p>
    <w:p>
      <w:pPr>
        <w:pStyle w:val="BodyText"/>
        <w:spacing w:line="446" w:lineRule="auto"/>
        <w:ind w:left="100" w:right="8147"/>
      </w:pPr>
      <w:r>
        <w:rPr/>
        <w:t>Chief Executive Officer May 2001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2020-12-09T23:18:37Z</dcterms:created>
  <dcterms:modified xsi:type="dcterms:W3CDTF">2020-12-09T23:18:37Z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