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80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446" w:lineRule="auto" w:before="254"/>
        <w:ind w:right="6983"/>
        <w:rPr>
          <w:b/>
        </w:rPr>
      </w:pPr>
      <w:r>
        <w:rPr/>
        <w:t>The following person has applied to the Chief Executive Officer for a customs broker's licence: </w:t>
      </w:r>
      <w:r>
        <w:rPr>
          <w:b/>
        </w:rPr>
        <w:t>EMANEM PTY LTD</w:t>
      </w:r>
    </w:p>
    <w:p>
      <w:pPr>
        <w:pStyle w:val="BodyText"/>
        <w:spacing w:line="237" w:lineRule="auto" w:before="1"/>
        <w:ind w:right="13260"/>
      </w:pPr>
      <w:r>
        <w:rPr/>
        <w:t>1/55 Garden Drive TULLAMARINE VIC 3043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Glenn Anthony MURDOCH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Glenn Anthony MURDOCH Lic No. 04059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Craig Andrew MURDOCH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Craig Andrew MURDOCH Lic No. 03811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08" w:right="0" w:firstLine="0"/>
        <w:jc w:val="left"/>
        <w:rPr>
          <w:b/>
          <w:sz w:val="19"/>
        </w:rPr>
      </w:pPr>
      <w:r>
        <w:rPr>
          <w:b/>
          <w:sz w:val="19"/>
        </w:rPr>
        <w:t>MAERSK LOGISTICS AUSTRALIA PTY LTD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pStyle w:val="BodyText"/>
        <w:spacing w:line="217" w:lineRule="exact"/>
      </w:pPr>
      <w:r>
        <w:rPr/>
        <w:t>28 Garden Drive</w:t>
      </w:r>
    </w:p>
    <w:p>
      <w:pPr>
        <w:pStyle w:val="BodyText"/>
        <w:spacing w:line="217" w:lineRule="exact"/>
      </w:pPr>
      <w:r>
        <w:rPr/>
        <w:t>TULLAMARINE VIC 3043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7"/>
        <w:gridCol w:w="9335"/>
      </w:tblGrid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Persons in Authority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  <w:u w:val="single" w:color="202020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6257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Steven A. BRADTKE</w:t>
            </w:r>
          </w:p>
        </w:tc>
        <w:tc>
          <w:tcPr>
            <w:tcW w:w="9335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Gerard Michael QUINN Lic No. 02205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</w:pPr>
      <w:r>
        <w:rPr/>
        <w:pict>
          <v:rect style="position:absolute;margin-left:45.9105pt;margin-top:10.940144pt;width:2.70568pt;height:81.846817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Heading1"/>
        <w:spacing w:line="247" w:lineRule="auto" w:before="177"/>
        <w:ind w:right="12372"/>
      </w:pPr>
      <w:r>
        <w:rPr>
          <w:color w:val="585858"/>
          <w:w w:val="105"/>
        </w:rPr>
        <w:t>Australian Customs Service Broker Licensing Group Customs House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7"/>
      </w:pPr>
      <w:r>
        <w:rPr>
          <w:color w:val="585858"/>
          <w:w w:val="105"/>
        </w:rPr>
        <w:t>CANBERRA ACT 2601</w:t>
      </w:r>
    </w:p>
    <w:p>
      <w:pPr>
        <w:pStyle w:val="BodyText"/>
        <w:spacing w:line="400" w:lineRule="atLeast" w:before="228"/>
        <w:ind w:right="13260"/>
      </w:pPr>
      <w:r>
        <w:rPr/>
        <w:t>by 21st December 2001 JEFF BUCKPITT</w:t>
      </w:r>
    </w:p>
    <w:p>
      <w:pPr>
        <w:pStyle w:val="BodyText"/>
        <w:spacing w:line="237" w:lineRule="auto" w:before="6"/>
        <w:ind w:right="13260"/>
      </w:pPr>
      <w:r>
        <w:rPr/>
        <w:t>National Manager Import/Export Management for</w:t>
      </w:r>
    </w:p>
    <w:p>
      <w:pPr>
        <w:pStyle w:val="BodyText"/>
        <w:spacing w:line="217" w:lineRule="exac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2020-12-09T23:00:23Z</dcterms:created>
  <dcterms:modified xsi:type="dcterms:W3CDTF">2020-12-09T23:00:23Z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