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2002 08</w:t>
      </w:r>
    </w:p>
    <w:p>
      <w:pPr>
        <w:spacing w:line="312" w:lineRule="auto" w:before="390"/>
        <w:ind w:left="100" w:right="1138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Preferential Access for Wholly Manufactured Goods Incorporating a Determined Manufactured Raw Material (DMRM)</w:t>
      </w:r>
    </w:p>
    <w:p>
      <w:pPr>
        <w:pStyle w:val="BodyText"/>
        <w:spacing w:before="161"/>
        <w:ind w:left="100" w:right="491"/>
      </w:pPr>
      <w:r>
        <w:rPr/>
        <w:t>This notice deals with preferential access for goods that incorporate a determined manufactured raw material (DMRM) and that are traded between Australia and New Zealand and between Australia and Canada.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A DMRM is a material that is imported into a country but is determined by the Chief Executive Officer of the Australian Customs Service (Customs), or his delegate, to be the manufactured raw material of that country.</w:t>
      </w:r>
    </w:p>
    <w:p>
      <w:pPr>
        <w:pStyle w:val="BodyText"/>
        <w:rPr>
          <w:sz w:val="18"/>
        </w:rPr>
      </w:pPr>
    </w:p>
    <w:p>
      <w:pPr>
        <w:spacing w:line="446" w:lineRule="auto" w:before="0"/>
        <w:ind w:left="100" w:right="6714" w:firstLine="0"/>
        <w:jc w:val="left"/>
        <w:rPr>
          <w:i/>
          <w:sz w:val="21"/>
        </w:rPr>
      </w:pPr>
      <w:r>
        <w:rPr>
          <w:b/>
          <w:sz w:val="21"/>
        </w:rPr>
        <w:t>Imports from New Zealand and Canada </w:t>
      </w:r>
      <w:r>
        <w:rPr>
          <w:i/>
          <w:sz w:val="21"/>
        </w:rPr>
        <w:t>Preferential access</w:t>
      </w:r>
    </w:p>
    <w:p>
      <w:pPr>
        <w:pStyle w:val="BodyText"/>
        <w:spacing w:before="2"/>
        <w:ind w:left="100" w:right="432"/>
      </w:pPr>
      <w:r>
        <w:rPr/>
        <w:t>Preferential rates of customs duty for goods that are produced or manufactured in various countries, including New Zealand and Canada, are set out in the </w:t>
      </w:r>
      <w:r>
        <w:rPr>
          <w:i/>
        </w:rPr>
        <w:t>Customs Tariff Act 1995</w:t>
      </w:r>
      <w:r>
        <w:rPr/>
        <w:t>.</w:t>
      </w:r>
    </w:p>
    <w:p>
      <w:pPr>
        <w:pStyle w:val="BodyText"/>
        <w:rPr>
          <w:sz w:val="18"/>
        </w:rPr>
      </w:pPr>
    </w:p>
    <w:p>
      <w:pPr>
        <w:pStyle w:val="BodyText"/>
        <w:ind w:left="100" w:right="174"/>
        <w:jc w:val="both"/>
      </w:pPr>
      <w:r>
        <w:rPr/>
        <w:t>Division 1A of Part VIII of the </w:t>
      </w:r>
      <w:r>
        <w:rPr>
          <w:i/>
        </w:rPr>
        <w:t>Customs Act 1901 </w:t>
      </w:r>
      <w:r>
        <w:rPr/>
        <w:t>(Customs Act) sets out rules for determining whether goods are the produce or manufacture of a particular country, other than Australia. Sections 153J and 153P of the </w:t>
      </w:r>
      <w:r>
        <w:rPr>
          <w:spacing w:val="-3"/>
        </w:rPr>
        <w:t>Customs </w:t>
      </w:r>
      <w:r>
        <w:rPr/>
        <w:t>Act provide that goods are the manufacture of New Zealand or of Canada, respectively where: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241" w:lineRule="exact" w:before="0" w:after="0"/>
        <w:ind w:left="393" w:right="0" w:hanging="234"/>
        <w:jc w:val="left"/>
        <w:rPr>
          <w:sz w:val="21"/>
        </w:rPr>
      </w:pPr>
      <w:r>
        <w:rPr>
          <w:sz w:val="21"/>
        </w:rPr>
        <w:t>they are wholly manufactured in the country; or</w:t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240" w:lineRule="auto" w:before="0" w:after="0"/>
        <w:ind w:left="393" w:right="332" w:hanging="234"/>
        <w:jc w:val="left"/>
        <w:rPr>
          <w:sz w:val="21"/>
        </w:rPr>
      </w:pPr>
      <w:r>
        <w:rPr>
          <w:sz w:val="21"/>
        </w:rPr>
        <w:t>where the last process of manufacture was performed in the country and a certain level of local content </w:t>
      </w:r>
      <w:r>
        <w:rPr>
          <w:spacing w:val="-6"/>
          <w:sz w:val="21"/>
        </w:rPr>
        <w:t>was </w:t>
      </w:r>
      <w:r>
        <w:rPr>
          <w:sz w:val="21"/>
        </w:rPr>
        <w:t>achieved.</w:t>
      </w:r>
    </w:p>
    <w:p>
      <w:pPr>
        <w:pStyle w:val="BodyText"/>
        <w:spacing w:before="11"/>
        <w:rPr>
          <w:sz w:val="17"/>
        </w:rPr>
      </w:pPr>
    </w:p>
    <w:p>
      <w:pPr>
        <w:spacing w:before="0"/>
        <w:ind w:left="100" w:right="0" w:firstLine="0"/>
        <w:jc w:val="both"/>
        <w:rPr>
          <w:i/>
          <w:sz w:val="21"/>
        </w:rPr>
      </w:pPr>
      <w:r>
        <w:rPr>
          <w:i/>
          <w:sz w:val="21"/>
        </w:rPr>
        <w:t>Wholly manufactured criterion</w:t>
      </w:r>
    </w:p>
    <w:p>
      <w:pPr>
        <w:pStyle w:val="BodyText"/>
        <w:spacing w:before="1"/>
        <w:rPr>
          <w:i/>
          <w:sz w:val="18"/>
        </w:rPr>
      </w:pPr>
    </w:p>
    <w:p>
      <w:pPr>
        <w:pStyle w:val="BodyText"/>
        <w:spacing w:before="1"/>
        <w:ind w:left="100"/>
      </w:pPr>
      <w:r>
        <w:rPr/>
        <w:t>Under subsections 153J(1) and 153P(2), respectively, goods are wholly manufactured in New Zealand or in Canada where they were wholly manufactured from one or more of the following: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1" w:lineRule="exact" w:before="0" w:after="0"/>
        <w:ind w:left="393" w:right="0" w:hanging="234"/>
        <w:jc w:val="left"/>
        <w:rPr>
          <w:sz w:val="21"/>
        </w:rPr>
      </w:pPr>
      <w:r>
        <w:rPr>
          <w:sz w:val="21"/>
        </w:rPr>
        <w:t>unmanufactured raw materials;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0" w:after="0"/>
        <w:ind w:left="393" w:right="157" w:hanging="234"/>
        <w:jc w:val="left"/>
        <w:rPr>
          <w:sz w:val="21"/>
        </w:rPr>
      </w:pPr>
      <w:r>
        <w:rPr>
          <w:sz w:val="21"/>
        </w:rPr>
        <w:t>materials wholly manufactured within New Zealand and/or Australia, or within Canada and/or Australia, as </w:t>
      </w:r>
      <w:r>
        <w:rPr>
          <w:spacing w:val="-6"/>
          <w:sz w:val="21"/>
        </w:rPr>
        <w:t>the </w:t>
      </w:r>
      <w:r>
        <w:rPr>
          <w:sz w:val="21"/>
        </w:rPr>
        <w:t>case may be;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37" w:lineRule="auto" w:before="0" w:after="0"/>
        <w:ind w:left="393" w:right="576" w:hanging="234"/>
        <w:jc w:val="left"/>
        <w:rPr>
          <w:sz w:val="21"/>
        </w:rPr>
      </w:pPr>
      <w:r>
        <w:rPr>
          <w:sz w:val="21"/>
        </w:rPr>
        <w:t>materials imported into New Zealand or into Canada, as the case may be, that have been determined, </w:t>
      </w:r>
      <w:r>
        <w:rPr>
          <w:spacing w:val="-8"/>
          <w:sz w:val="21"/>
        </w:rPr>
        <w:t>by </w:t>
      </w:r>
      <w:r>
        <w:rPr>
          <w:sz w:val="21"/>
        </w:rPr>
        <w:t>notice in the </w:t>
      </w:r>
      <w:r>
        <w:rPr>
          <w:i/>
          <w:sz w:val="21"/>
        </w:rPr>
        <w:t>Commonwealth of Australia Gazette </w:t>
      </w:r>
      <w:r>
        <w:rPr>
          <w:sz w:val="21"/>
        </w:rPr>
        <w:t>(Gazette), to be DMRMs of that</w:t>
      </w:r>
      <w:r>
        <w:rPr>
          <w:spacing w:val="-8"/>
          <w:sz w:val="21"/>
        </w:rPr>
        <w:t> </w:t>
      </w:r>
      <w:r>
        <w:rPr>
          <w:sz w:val="21"/>
        </w:rPr>
        <w:t>country.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153"/>
      </w:pPr>
      <w:r>
        <w:rPr/>
        <w:t>Goods manufactured in New Zealand or in Canada that incorporate a DMRM may be imported into Australia at a preferential rate of customs duty, provided that the goods do not contain imported materials that were manufactured in a country other than Australia.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170"/>
        <w:jc w:val="both"/>
      </w:pPr>
      <w:r>
        <w:rPr/>
        <w:t>A list of DMRMs that have been granted for New Zealand and for Canada has been published in Gazette No. TC 02/09 of 6 March 2002. An extract from that Gazette is attached for information.</w:t>
      </w:r>
    </w:p>
    <w:p>
      <w:pPr>
        <w:pStyle w:val="BodyText"/>
        <w:rPr>
          <w:sz w:val="18"/>
        </w:rPr>
      </w:pPr>
    </w:p>
    <w:p>
      <w:pPr>
        <w:spacing w:before="0"/>
        <w:ind w:left="100" w:right="0" w:firstLine="0"/>
        <w:jc w:val="both"/>
        <w:rPr>
          <w:i/>
          <w:sz w:val="21"/>
        </w:rPr>
      </w:pPr>
      <w:r>
        <w:rPr>
          <w:i/>
          <w:sz w:val="21"/>
        </w:rPr>
        <w:t>Application for a DMRM</w:t>
      </w:r>
    </w:p>
    <w:p>
      <w:pPr>
        <w:pStyle w:val="BodyText"/>
        <w:spacing w:before="2"/>
        <w:rPr>
          <w:i/>
          <w:sz w:val="18"/>
        </w:rPr>
      </w:pPr>
    </w:p>
    <w:p>
      <w:pPr>
        <w:pStyle w:val="BodyText"/>
        <w:ind w:left="100" w:right="83"/>
      </w:pPr>
      <w:r>
        <w:rPr/>
        <w:t>Exporters in New Zealand and in Canada may apply to the relevant authority in their country for a DMRM in Australia. That authority will contact Customs for consideration of the application and for notification of the DMRM application.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562"/>
      </w:pPr>
      <w:r>
        <w:rPr/>
        <w:t>A DMRM will be granted where there is no manufacture of the materials in New Zealand or in Australia, or in Canada or in Australia, as the case may be.</w:t>
      </w:r>
    </w:p>
    <w:p>
      <w:pPr>
        <w:pStyle w:val="BodyText"/>
        <w:rPr>
          <w:sz w:val="18"/>
        </w:rPr>
      </w:pPr>
    </w:p>
    <w:p>
      <w:pPr>
        <w:pStyle w:val="BodyText"/>
        <w:ind w:left="100"/>
        <w:jc w:val="both"/>
      </w:pPr>
      <w:r>
        <w:rPr/>
        <w:t>Australia and New Zealand have agreed on the following core criteria for granting a DMRM: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393"/>
      </w:pPr>
      <w:r>
        <w:rPr/>
        <w:pict>
          <v:shape style="position:absolute;margin-left:38.75pt;margin-top:5.348877pt;width:3pt;height:3pt;mso-position-horizontal-relative:page;mso-position-vertical-relative:paragraph;z-index:15728640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the materials are eligible for duty-free entry or for duty concessions (including a tariff concession) in New Zealand and in Australia; and</w:t>
      </w:r>
    </w:p>
    <w:p>
      <w:pPr>
        <w:pStyle w:val="BodyText"/>
        <w:spacing w:line="237" w:lineRule="auto"/>
        <w:ind w:left="393" w:right="326"/>
      </w:pPr>
      <w:r>
        <w:rPr/>
        <w:pict>
          <v:shape style="position:absolute;margin-left:38.75pt;margin-top:5.250388pt;width:3pt;height:3pt;mso-position-horizontal-relative:page;mso-position-vertical-relative:paragraph;z-index:15729152" coordorigin="775,105" coordsize="60,60" path="m805,165l792,163,783,158,777,148,775,135,777,122,783,113,792,107,805,105,818,107,828,113,833,122,835,135,833,148,828,158,818,163,805,165xe" filled="true" fillcolor="#000000" stroked="false">
            <v:path arrowok="t"/>
            <v:fill type="solid"/>
            <w10:wrap type="none"/>
          </v:shape>
        </w:pict>
      </w:r>
      <w:r>
        <w:rPr/>
        <w:t>there are no objections from manufacturers of the relevant material, or a substitutable or suitable material in either country.</w:t>
      </w:r>
    </w:p>
    <w:p>
      <w:pPr>
        <w:spacing w:after="0" w:line="237" w:lineRule="auto"/>
        <w:sectPr>
          <w:type w:val="continuous"/>
          <w:pgSz w:w="11900" w:h="16840"/>
          <w:pgMar w:top="700" w:bottom="280" w:left="600" w:right="580"/>
        </w:sectPr>
      </w:pPr>
    </w:p>
    <w:p>
      <w:pPr>
        <w:spacing w:before="78"/>
        <w:ind w:left="100" w:right="0" w:firstLine="0"/>
        <w:jc w:val="left"/>
        <w:rPr>
          <w:i/>
          <w:sz w:val="21"/>
        </w:rPr>
      </w:pPr>
      <w:r>
        <w:rPr>
          <w:i/>
          <w:sz w:val="21"/>
        </w:rPr>
        <w:t>Revocation of a DMRM</w:t>
      </w:r>
    </w:p>
    <w:p>
      <w:pPr>
        <w:pStyle w:val="BodyText"/>
        <w:spacing w:before="1"/>
        <w:rPr>
          <w:i/>
          <w:sz w:val="18"/>
        </w:rPr>
      </w:pPr>
    </w:p>
    <w:p>
      <w:pPr>
        <w:pStyle w:val="BodyText"/>
        <w:ind w:left="100" w:right="141"/>
      </w:pPr>
      <w:r>
        <w:rPr/>
        <w:pict>
          <v:rect style="position:absolute;margin-left:47.75pt;margin-top:24.098877pt;width:3pt;height:333.75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33.848877pt;width:3pt;height:298.5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/>
        <w:t>Australian manufacturers wishing to apply for the revocation of an existing DMRM should contact Customs at the following address for a revocation form:</w:t>
      </w:r>
    </w:p>
    <w:p>
      <w:pPr>
        <w:pStyle w:val="BodyText"/>
        <w:rPr>
          <w:sz w:val="22"/>
        </w:rPr>
      </w:pPr>
    </w:p>
    <w:p>
      <w:pPr>
        <w:spacing w:line="232" w:lineRule="auto" w:before="184"/>
        <w:ind w:left="1209" w:right="4365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Valuation and Origin Section Australian Border Force</w:t>
      </w:r>
    </w:p>
    <w:p>
      <w:pPr>
        <w:spacing w:line="326" w:lineRule="exact" w:before="0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5 Constitution Avenue</w:t>
      </w:r>
    </w:p>
    <w:p>
      <w:pPr>
        <w:spacing w:line="335" w:lineRule="exact" w:before="0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CANBERRA ACT 2601</w:t>
      </w:r>
    </w:p>
    <w:p>
      <w:pPr>
        <w:spacing w:line="335" w:lineRule="exact" w:before="290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Telephone: (02) 6275 6551</w:t>
      </w:r>
    </w:p>
    <w:p>
      <w:pPr>
        <w:spacing w:line="335" w:lineRule="exact" w:before="0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Facsimile: (02) 6275 6477</w:t>
      </w:r>
    </w:p>
    <w:p>
      <w:pPr>
        <w:spacing w:line="232" w:lineRule="auto" w:before="297"/>
        <w:ind w:left="1209" w:right="1138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a copy can be obtained by writing to Customs at the above address.</w:t>
      </w:r>
    </w:p>
    <w:p>
      <w:pPr>
        <w:spacing w:line="335" w:lineRule="exact" w:before="290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TOM MARSHALL</w:t>
      </w:r>
    </w:p>
    <w:p>
      <w:pPr>
        <w:spacing w:line="232" w:lineRule="auto" w:before="3"/>
        <w:ind w:left="1209" w:right="6714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National Manager Tariff</w:t>
      </w:r>
    </w:p>
    <w:p>
      <w:pPr>
        <w:spacing w:line="453" w:lineRule="auto" w:before="0"/>
        <w:ind w:left="1209" w:right="4365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for Chief Executive Officer (C95/01172)</w:t>
      </w:r>
    </w:p>
    <w:sectPr>
      <w:pgSz w:w="11900" w:h="16840"/>
      <w:pgMar w:top="500" w:bottom="280" w:left="6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93" w:hanging="234"/>
        <w:jc w:val="left"/>
      </w:pPr>
      <w:rPr>
        <w:rFonts w:hint="default" w:ascii="Arial" w:hAnsi="Arial" w:eastAsia="Arial" w:cs="Arial"/>
        <w:spacing w:val="-12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40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71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02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33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64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5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26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57" w:hanging="23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3" w:hanging="234"/>
        <w:jc w:val="left"/>
      </w:pPr>
      <w:rPr>
        <w:rFonts w:hint="default" w:ascii="Arial" w:hAnsi="Arial" w:eastAsia="Arial" w:cs="Arial"/>
        <w:spacing w:val="-12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432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64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6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28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6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24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56" w:hanging="234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>
      <w:ind w:left="393" w:hanging="234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2020-12-09T22:35:37Z</dcterms:created>
  <dcterms:modified xsi:type="dcterms:W3CDTF">2020-12-09T22:35:37Z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