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2002 16</w:t>
      </w:r>
    </w:p>
    <w:p>
      <w:pPr>
        <w:pStyle w:val="Heading1"/>
        <w:spacing w:before="357"/>
      </w:pPr>
      <w:r>
        <w:rPr>
          <w:color w:val="202020"/>
        </w:rPr>
        <w:t>Exemption of Certain Goods from the Product Stewardship Oil (PSO) Levy</w:t>
      </w:r>
    </w:p>
    <w:p>
      <w:pPr>
        <w:pStyle w:val="BodyText"/>
        <w:spacing w:line="237" w:lineRule="auto" w:before="256"/>
        <w:ind w:left="108" w:right="505"/>
      </w:pPr>
      <w:r>
        <w:rPr/>
        <w:t>Following representations from industry, the Government has decided that certain goods will be exempt from the PSO Levy. The levy is applicable to goods described in a number of tariff subheadings in Schedule 3 to the </w:t>
      </w:r>
      <w:r>
        <w:rPr>
          <w:i/>
        </w:rPr>
        <w:t>Customs Tariff Act 1995 </w:t>
      </w:r>
      <w:r>
        <w:rPr/>
        <w:t>(the Customs Tariff) and, through the </w:t>
      </w:r>
      <w:r>
        <w:rPr>
          <w:i/>
        </w:rPr>
        <w:t>Excise Tariff Act 1921</w:t>
      </w:r>
      <w:r>
        <w:rPr/>
        <w:t>, to equivalent domestically produced goods. The levy is presently $0.05363 per litre or kilogram.</w:t>
      </w:r>
    </w:p>
    <w:p>
      <w:pPr>
        <w:pStyle w:val="BodyText"/>
        <w:spacing w:before="4"/>
        <w:rPr>
          <w:sz w:val="16"/>
        </w:rPr>
      </w:pPr>
    </w:p>
    <w:p>
      <w:pPr>
        <w:pStyle w:val="BodyText"/>
        <w:ind w:left="108"/>
      </w:pPr>
      <w:r>
        <w:rPr/>
        <w:t>The goods to be exempted are:</w:t>
      </w:r>
    </w:p>
    <w:p>
      <w:pPr>
        <w:pStyle w:val="BodyText"/>
        <w:spacing w:before="3"/>
        <w:rPr>
          <w:sz w:val="16"/>
        </w:rPr>
      </w:pPr>
    </w:p>
    <w:p>
      <w:pPr>
        <w:pStyle w:val="BodyText"/>
        <w:spacing w:line="446" w:lineRule="auto" w:before="1"/>
        <w:ind w:left="373" w:right="11982"/>
      </w:pPr>
      <w:r>
        <w:rPr/>
        <w:pict>
          <v:shape style="position:absolute;margin-left:37.793461pt;margin-top:4.902374pt;width:2.75pt;height:2.75pt;mso-position-horizontal-relative:page;mso-position-vertical-relative:paragraph;z-index:15729152" coordorigin="756,98" coordsize="55,55" path="m801,152l765,152,756,143,756,107,765,98,801,98,810,107,810,125,810,143,801,152xe" filled="true" fillcolor="#000000" stroked="false">
            <v:path arrowok="t"/>
            <v:fill type="solid"/>
            <w10:wrap type="none"/>
          </v:shape>
        </w:pict>
      </w:r>
      <w:r>
        <w:rPr/>
        <w:pict>
          <v:shape style="position:absolute;margin-left:37.793461pt;margin-top:25.194973pt;width:2.75pt;height:2.75pt;mso-position-horizontal-relative:page;mso-position-vertical-relative:paragraph;z-index:15729664" coordorigin="756,504" coordsize="55,55" path="m801,558l765,558,756,549,756,513,765,504,801,504,810,513,810,531,810,549,801,558xe" filled="true" fillcolor="#000000" stroked="false">
            <v:path arrowok="t"/>
            <v:fill type="solid"/>
            <w10:wrap type="none"/>
          </v:shape>
        </w:pict>
      </w:r>
      <w:r>
        <w:rPr/>
        <w:pict>
          <v:shape style="position:absolute;margin-left:37.793461pt;margin-top:45.487572pt;width:2.75pt;height:2.75pt;mso-position-horizontal-relative:page;mso-position-vertical-relative:paragraph;z-index:15730176" coordorigin="756,910" coordsize="55,55" path="m801,964l765,964,756,955,756,919,765,910,801,910,810,919,810,937,810,955,801,964xe" filled="true" fillcolor="#000000" stroked="false">
            <v:path arrowok="t"/>
            <v:fill type="solid"/>
            <w10:wrap type="none"/>
          </v:shape>
        </w:pict>
      </w:r>
      <w:r>
        <w:rPr/>
        <w:t>Certain food grade white mineral oils; Certain aromatic process oils; and Certain polyglycol brake fluids.</w:t>
      </w:r>
    </w:p>
    <w:p>
      <w:pPr>
        <w:pStyle w:val="BodyText"/>
        <w:spacing w:line="217" w:lineRule="exact"/>
        <w:ind w:left="108"/>
      </w:pPr>
      <w:r>
        <w:rPr/>
        <w:t>In order to give effect to the Government's decision, Customs Tariff Notice No. 1 (2002) will be published in a Special </w:t>
      </w:r>
      <w:r>
        <w:rPr>
          <w:i/>
        </w:rPr>
        <w:t>Gazette </w:t>
      </w:r>
      <w:r>
        <w:rPr/>
        <w:t>on Friday 12 April 2002.</w:t>
      </w:r>
    </w:p>
    <w:p>
      <w:pPr>
        <w:pStyle w:val="BodyText"/>
        <w:spacing w:before="5"/>
        <w:rPr>
          <w:sz w:val="16"/>
        </w:rPr>
      </w:pPr>
    </w:p>
    <w:p>
      <w:pPr>
        <w:pStyle w:val="BodyText"/>
        <w:spacing w:line="237" w:lineRule="auto"/>
        <w:ind w:left="108" w:right="1987"/>
      </w:pPr>
      <w:r>
        <w:rPr/>
        <w:t>The Notice will take effect on and from 15 April 2002 and will create two new items (72A and 72B) in Schedule 4 to the Customs Tariff along with three new by-laws (By-laws Nos. 0240004, 0240005 and 0240006) that detail the particular goods to be exempted from the levy (Attachment A refers).</w:t>
      </w:r>
    </w:p>
    <w:p>
      <w:pPr>
        <w:pStyle w:val="BodyText"/>
        <w:spacing w:before="5"/>
        <w:rPr>
          <w:sz w:val="16"/>
        </w:rPr>
      </w:pPr>
    </w:p>
    <w:p>
      <w:pPr>
        <w:pStyle w:val="BodyText"/>
        <w:spacing w:line="237" w:lineRule="auto"/>
        <w:ind w:left="108" w:right="948"/>
      </w:pPr>
      <w:r>
        <w:rPr/>
        <w:t>These items will operate through treatment codes 472 and 572 respectively. Users of the items will need to comply with the relevant by-laws and usage will be monitored by the Australian Customs Service.</w:t>
      </w:r>
    </w:p>
    <w:p>
      <w:pPr>
        <w:pStyle w:val="BodyText"/>
        <w:spacing w:before="4"/>
        <w:rPr>
          <w:sz w:val="16"/>
        </w:rPr>
      </w:pPr>
    </w:p>
    <w:p>
      <w:pPr>
        <w:spacing w:before="0"/>
        <w:ind w:left="108" w:right="0" w:firstLine="0"/>
        <w:jc w:val="left"/>
        <w:rPr>
          <w:sz w:val="19"/>
        </w:rPr>
      </w:pPr>
      <w:r>
        <w:rPr>
          <w:sz w:val="19"/>
        </w:rPr>
        <w:t>Equivalent changes will be made to the </w:t>
      </w:r>
      <w:r>
        <w:rPr>
          <w:i/>
          <w:sz w:val="19"/>
        </w:rPr>
        <w:t>Excise Tariff Act 1921 </w:t>
      </w:r>
      <w:r>
        <w:rPr>
          <w:sz w:val="19"/>
        </w:rPr>
        <w:t>and will be notified at the same time.</w:t>
      </w:r>
    </w:p>
    <w:p>
      <w:pPr>
        <w:pStyle w:val="BodyText"/>
        <w:spacing w:before="5"/>
        <w:rPr>
          <w:sz w:val="16"/>
        </w:rPr>
      </w:pPr>
    </w:p>
    <w:p>
      <w:pPr>
        <w:pStyle w:val="BodyText"/>
        <w:spacing w:line="237" w:lineRule="auto" w:before="1"/>
        <w:ind w:left="108" w:right="163"/>
      </w:pPr>
      <w:r>
        <w:rPr/>
        <w:t>Item 50 of Schedule 4 to the Customs </w:t>
      </w:r>
      <w:r>
        <w:rPr>
          <w:spacing w:val="-5"/>
        </w:rPr>
        <w:t>Tariff </w:t>
      </w:r>
      <w:r>
        <w:rPr/>
        <w:t>has been restructured (see Attachment A) to accommodate the different treatment of goods classified under heading 3819.00.00 (hydraulic transmission fluids) that are covered by a </w:t>
      </w:r>
      <w:r>
        <w:rPr>
          <w:spacing w:val="-5"/>
        </w:rPr>
        <w:t>Tariff </w:t>
      </w:r>
      <w:r>
        <w:rPr/>
        <w:t>Concession Order, and other goods covered by a </w:t>
      </w:r>
      <w:r>
        <w:rPr>
          <w:spacing w:val="-5"/>
        </w:rPr>
        <w:t>Tariff </w:t>
      </w:r>
      <w:r>
        <w:rPr/>
        <w:t>Concession Order. Item 50B, which currently caters for the goods of 3819.00.00 is being repealed. Provision has been made within the restructured item 50 to cater for any hydraulic transmission fluids that are exempted from the levy and also are subject to a </w:t>
      </w:r>
      <w:r>
        <w:rPr>
          <w:spacing w:val="-5"/>
        </w:rPr>
        <w:t>Tariff </w:t>
      </w:r>
      <w:r>
        <w:rPr/>
        <w:t>Concession Order. Minor consequential changes have been made to the </w:t>
      </w:r>
      <w:r>
        <w:rPr>
          <w:spacing w:val="-5"/>
        </w:rPr>
        <w:t>Table </w:t>
      </w:r>
      <w:r>
        <w:rPr/>
        <w:t>in section 19 of the Customs </w:t>
      </w:r>
      <w:r>
        <w:rPr>
          <w:spacing w:val="-5"/>
        </w:rPr>
        <w:t>Tariff </w:t>
      </w:r>
      <w:r>
        <w:rPr/>
        <w:t>and to the </w:t>
      </w:r>
      <w:r>
        <w:rPr>
          <w:spacing w:val="-5"/>
        </w:rPr>
        <w:t>Table </w:t>
      </w:r>
      <w:r>
        <w:rPr/>
        <w:t>in item 44 of</w:t>
      </w:r>
    </w:p>
    <w:p>
      <w:pPr>
        <w:pStyle w:val="BodyText"/>
        <w:spacing w:line="217" w:lineRule="exact"/>
        <w:ind w:left="108"/>
      </w:pPr>
      <w:r>
        <w:rPr/>
        <w:t>Schedule 4.</w:t>
      </w:r>
    </w:p>
    <w:p>
      <w:pPr>
        <w:pStyle w:val="BodyText"/>
        <w:spacing w:before="3"/>
        <w:rPr>
          <w:sz w:val="16"/>
        </w:rPr>
      </w:pPr>
    </w:p>
    <w:p>
      <w:pPr>
        <w:pStyle w:val="BodyText"/>
        <w:ind w:left="108"/>
      </w:pPr>
      <w:r>
        <w:rPr/>
        <w:t>Tariff pages to be issued in connection with these changes are:</w:t>
      </w:r>
    </w:p>
    <w:p>
      <w:pPr>
        <w:pStyle w:val="BodyText"/>
        <w:spacing w:before="3"/>
        <w:rPr>
          <w:sz w:val="16"/>
        </w:rPr>
      </w:pPr>
    </w:p>
    <w:p>
      <w:pPr>
        <w:pStyle w:val="BodyText"/>
        <w:spacing w:line="446" w:lineRule="auto"/>
        <w:ind w:left="108" w:right="2974"/>
      </w:pPr>
      <w:r>
        <w:rPr/>
        <w:t>Customs </w:t>
      </w:r>
      <w:r>
        <w:rPr>
          <w:spacing w:val="-5"/>
        </w:rPr>
        <w:t>Tariff </w:t>
      </w:r>
      <w:r>
        <w:rPr/>
        <w:t>Act page 15 </w:t>
      </w:r>
      <w:r>
        <w:rPr>
          <w:spacing w:val="-3"/>
        </w:rPr>
        <w:t>(R.11); </w:t>
      </w:r>
      <w:r>
        <w:rPr/>
        <w:t>Schedule 4/23 (R.5) and 4/37 (R.1); Schedule of Concessional Instruments Part </w:t>
      </w:r>
      <w:r>
        <w:rPr>
          <w:spacing w:val="-3"/>
        </w:rPr>
        <w:t>2/115 </w:t>
      </w:r>
      <w:r>
        <w:rPr/>
        <w:t>(R.5) and Part </w:t>
      </w:r>
      <w:r>
        <w:rPr>
          <w:spacing w:val="-3"/>
        </w:rPr>
        <w:t>2/117 </w:t>
      </w:r>
      <w:r>
        <w:rPr/>
        <w:t>(R.3). Any enquiries concerning these matters should be directed to:</w:t>
      </w:r>
    </w:p>
    <w:p>
      <w:pPr>
        <w:pStyle w:val="BodyText"/>
        <w:spacing w:line="217" w:lineRule="exact"/>
        <w:ind w:left="108"/>
      </w:pPr>
      <w:r>
        <w:rPr/>
        <w:pict>
          <v:rect style="position:absolute;margin-left:45.9105pt;margin-top:10.887796pt;width:2.70568pt;height:94.698796pt;mso-position-horizontal-relative:page;mso-position-vertical-relative:paragraph;z-index:15728640" filled="true" fillcolor="#003366" stroked="false">
            <v:fill type="solid"/>
            <w10:wrap type="none"/>
          </v:rect>
        </w:pict>
      </w:r>
      <w:r>
        <w:rPr/>
        <w:t>for Customs Tariff matters:</w:t>
      </w:r>
    </w:p>
    <w:p>
      <w:pPr>
        <w:pStyle w:val="Heading3"/>
        <w:spacing w:before="178"/>
      </w:pPr>
      <w:r>
        <w:rPr>
          <w:color w:val="585858"/>
          <w:w w:val="105"/>
        </w:rPr>
        <w:t>Manager</w:t>
      </w:r>
    </w:p>
    <w:p>
      <w:pPr>
        <w:spacing w:line="247" w:lineRule="auto" w:before="7"/>
        <w:ind w:left="567" w:right="12431" w:firstLine="0"/>
        <w:jc w:val="left"/>
        <w:rPr>
          <w:rFonts w:ascii="Georgia"/>
          <w:i/>
          <w:sz w:val="22"/>
        </w:rPr>
      </w:pPr>
      <w:r>
        <w:rPr>
          <w:rFonts w:ascii="Georgia"/>
          <w:i/>
          <w:color w:val="585858"/>
          <w:w w:val="105"/>
          <w:sz w:val="22"/>
        </w:rPr>
        <w:t>Tariff Legislation &amp;amp; External Review Australian Customs</w:t>
      </w:r>
      <w:r>
        <w:rPr>
          <w:rFonts w:ascii="Georgia"/>
          <w:i/>
          <w:color w:val="585858"/>
          <w:spacing w:val="-38"/>
          <w:w w:val="105"/>
          <w:sz w:val="22"/>
        </w:rPr>
        <w:t> </w:t>
      </w:r>
      <w:r>
        <w:rPr>
          <w:rFonts w:ascii="Georgia"/>
          <w:i/>
          <w:color w:val="585858"/>
          <w:spacing w:val="-3"/>
          <w:w w:val="105"/>
          <w:sz w:val="22"/>
        </w:rPr>
        <w:t>Service </w:t>
      </w:r>
      <w:r>
        <w:rPr>
          <w:rFonts w:ascii="Georgia"/>
          <w:i/>
          <w:color w:val="585858"/>
          <w:w w:val="105"/>
          <w:sz w:val="22"/>
        </w:rPr>
        <w:t>CANBERRA ACT</w:t>
      </w:r>
      <w:r>
        <w:rPr>
          <w:rFonts w:ascii="Georgia"/>
          <w:i/>
          <w:color w:val="585858"/>
          <w:spacing w:val="-11"/>
          <w:w w:val="105"/>
          <w:sz w:val="22"/>
        </w:rPr>
        <w:t> </w:t>
      </w:r>
      <w:r>
        <w:rPr>
          <w:rFonts w:ascii="Georgia"/>
          <w:i/>
          <w:color w:val="585858"/>
          <w:w w:val="105"/>
          <w:sz w:val="22"/>
        </w:rPr>
        <w:t>2600</w:t>
      </w:r>
    </w:p>
    <w:p>
      <w:pPr>
        <w:pStyle w:val="Heading3"/>
        <w:spacing w:line="248" w:lineRule="exact"/>
      </w:pPr>
      <w:r>
        <w:rPr>
          <w:color w:val="585858"/>
          <w:w w:val="105"/>
        </w:rPr>
        <w:t>Ph: 02 6275 6486</w:t>
      </w:r>
    </w:p>
    <w:p>
      <w:pPr>
        <w:spacing w:after="0" w:line="248" w:lineRule="exact"/>
        <w:sectPr>
          <w:type w:val="continuous"/>
          <w:pgSz w:w="16840" w:h="11900" w:orient="landscape"/>
          <w:pgMar w:top="680" w:bottom="280" w:left="580" w:right="440"/>
        </w:sectPr>
      </w:pPr>
    </w:p>
    <w:p>
      <w:pPr>
        <w:pStyle w:val="BodyText"/>
        <w:spacing w:before="77"/>
        <w:ind w:left="108"/>
      </w:pPr>
      <w:r>
        <w:rPr/>
        <w:pict>
          <v:rect style="position:absolute;margin-left:45.9105pt;margin-top:14.79015pt;width:2.70568pt;height:68.994837pt;mso-position-horizontal-relative:page;mso-position-vertical-relative:paragraph;z-index:15730688" filled="true" fillcolor="#003366" stroked="false">
            <v:fill type="solid"/>
            <w10:wrap type="none"/>
          </v:rect>
        </w:pict>
      </w:r>
      <w:r>
        <w:rPr/>
        <w:t>for Excise Tariff matters:</w:t>
      </w:r>
    </w:p>
    <w:p>
      <w:pPr>
        <w:pStyle w:val="Heading3"/>
        <w:spacing w:line="247" w:lineRule="auto" w:before="178"/>
        <w:ind w:right="11773"/>
      </w:pPr>
      <w:r>
        <w:rPr>
          <w:color w:val="585858"/>
          <w:w w:val="105"/>
        </w:rPr>
        <w:t>Excise Petroleum Industry Group Australian Taxation Office CANBERRA ACT 2600</w:t>
      </w:r>
    </w:p>
    <w:p>
      <w:pPr>
        <w:spacing w:line="249" w:lineRule="exact" w:before="0"/>
        <w:ind w:left="567" w:right="0" w:firstLine="0"/>
        <w:jc w:val="left"/>
        <w:rPr>
          <w:rFonts w:ascii="Georgia"/>
          <w:i/>
          <w:sz w:val="22"/>
        </w:rPr>
      </w:pPr>
      <w:r>
        <w:rPr>
          <w:rFonts w:ascii="Georgia"/>
          <w:i/>
          <w:color w:val="585858"/>
          <w:w w:val="105"/>
          <w:sz w:val="22"/>
        </w:rPr>
        <w:t>Ph: 1300 137 292</w:t>
      </w:r>
    </w:p>
    <w:p>
      <w:pPr>
        <w:pStyle w:val="BodyText"/>
        <w:spacing w:before="2"/>
        <w:rPr>
          <w:rFonts w:ascii="Georgia"/>
          <w:i/>
          <w:sz w:val="36"/>
        </w:rPr>
      </w:pPr>
    </w:p>
    <w:p>
      <w:pPr>
        <w:pStyle w:val="BodyText"/>
        <w:spacing w:line="237" w:lineRule="auto"/>
        <w:ind w:left="108" w:right="13884"/>
      </w:pPr>
      <w:r>
        <w:rPr/>
        <w:t>Tom Marshall National Manager Tariff</w:t>
      </w:r>
    </w:p>
    <w:p>
      <w:pPr>
        <w:pStyle w:val="BodyText"/>
        <w:spacing w:line="216" w:lineRule="exact"/>
        <w:ind w:left="108"/>
      </w:pPr>
      <w:r>
        <w:rPr/>
        <w:t>for</w:t>
      </w:r>
    </w:p>
    <w:p>
      <w:pPr>
        <w:pStyle w:val="BodyText"/>
        <w:spacing w:line="446" w:lineRule="auto"/>
        <w:ind w:left="108" w:right="13419"/>
      </w:pPr>
      <w:r>
        <w:rPr/>
        <w:pict>
          <v:rect style="position:absolute;margin-left:34.411362pt;margin-top:37.996948pt;width:775.177289pt;height:.67642pt;mso-position-horizontal-relative:page;mso-position-vertical-relative:paragraph;z-index:-15868928" filled="true" fillcolor="#ededed" stroked="false">
            <v:fill type="solid"/>
            <w10:wrap type="none"/>
          </v:rect>
        </w:pict>
      </w:r>
      <w:r>
        <w:rPr/>
        <w:t>Chief Executive Officer April 2002</w:t>
      </w:r>
    </w:p>
    <w:p>
      <w:pPr>
        <w:spacing w:before="147"/>
        <w:ind w:left="6204" w:right="6302" w:firstLine="0"/>
        <w:jc w:val="center"/>
        <w:rPr>
          <w:b/>
          <w:sz w:val="19"/>
        </w:rPr>
      </w:pPr>
      <w:r>
        <w:rPr>
          <w:b/>
          <w:sz w:val="19"/>
        </w:rPr>
        <w:t>Item 72A of Part III of Schedule 4</w:t>
      </w:r>
    </w:p>
    <w:p>
      <w:pPr>
        <w:pStyle w:val="BodyText"/>
        <w:spacing w:before="5"/>
        <w:rPr>
          <w:b/>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468"/>
        <w:gridCol w:w="10850"/>
        <w:gridCol w:w="920"/>
        <w:gridCol w:w="2354"/>
      </w:tblGrid>
      <w:tr>
        <w:trPr>
          <w:trHeight w:val="1026" w:hRule="atLeast"/>
        </w:trPr>
        <w:tc>
          <w:tcPr>
            <w:tcW w:w="1468" w:type="dxa"/>
            <w:tcBorders>
              <w:left w:val="nil"/>
            </w:tcBorders>
          </w:tcPr>
          <w:p>
            <w:pPr>
              <w:pStyle w:val="TableParagraph"/>
              <w:ind w:left="101"/>
              <w:rPr>
                <w:sz w:val="19"/>
              </w:rPr>
            </w:pPr>
            <w:r>
              <w:rPr>
                <w:color w:val="202020"/>
                <w:sz w:val="19"/>
              </w:rPr>
              <w:t>72A</w:t>
            </w:r>
          </w:p>
        </w:tc>
        <w:tc>
          <w:tcPr>
            <w:tcW w:w="10850" w:type="dxa"/>
          </w:tcPr>
          <w:p>
            <w:pPr>
              <w:pStyle w:val="TableParagraph"/>
              <w:spacing w:line="237" w:lineRule="auto" w:before="93"/>
              <w:ind w:right="226"/>
              <w:rPr>
                <w:sz w:val="19"/>
              </w:rPr>
            </w:pPr>
            <w:r>
              <w:rPr>
                <w:color w:val="202020"/>
                <w:sz w:val="19"/>
              </w:rPr>
              <w:t>Goods, classified under heading 2710, 3403 or 3811 of Schedule 3, being goods that have been approved by the Minister for the Environment and Heritage as being exempt from the Product Stewardship Oil Levy, as prescribed by by-law, entered for home consumption on or after 15 April 2002</w:t>
            </w:r>
          </w:p>
        </w:tc>
        <w:tc>
          <w:tcPr>
            <w:tcW w:w="920" w:type="dxa"/>
          </w:tcPr>
          <w:p>
            <w:pPr>
              <w:pStyle w:val="TableParagraph"/>
              <w:spacing w:before="0"/>
              <w:ind w:left="0"/>
              <w:rPr>
                <w:rFonts w:ascii="Times New Roman"/>
                <w:sz w:val="18"/>
              </w:rPr>
            </w:pPr>
          </w:p>
        </w:tc>
        <w:tc>
          <w:tcPr>
            <w:tcW w:w="2354" w:type="dxa"/>
            <w:tcBorders>
              <w:right w:val="nil"/>
            </w:tcBorders>
          </w:tcPr>
          <w:p>
            <w:pPr>
              <w:pStyle w:val="TableParagraph"/>
              <w:rPr>
                <w:sz w:val="19"/>
              </w:rPr>
            </w:pPr>
            <w:r>
              <w:rPr>
                <w:color w:val="202020"/>
                <w:sz w:val="19"/>
              </w:rPr>
              <w:t>Free</w:t>
            </w:r>
          </w:p>
        </w:tc>
      </w:tr>
    </w:tbl>
    <w:p>
      <w:pPr>
        <w:pStyle w:val="BodyText"/>
        <w:rPr>
          <w:b/>
          <w:sz w:val="20"/>
        </w:rPr>
      </w:pPr>
    </w:p>
    <w:p>
      <w:pPr>
        <w:pStyle w:val="Heading1"/>
        <w:ind w:left="6204" w:right="6302"/>
        <w:jc w:val="center"/>
      </w:pPr>
      <w:r>
        <w:rPr>
          <w:color w:val="202020"/>
        </w:rPr>
        <w:t>BY-LAW NO. 0240004</w:t>
      </w:r>
    </w:p>
    <w:p>
      <w:pPr>
        <w:pStyle w:val="ListParagraph"/>
        <w:numPr>
          <w:ilvl w:val="0"/>
          <w:numId w:val="1"/>
        </w:numPr>
        <w:tabs>
          <w:tab w:pos="319" w:val="left" w:leader="none"/>
        </w:tabs>
        <w:spacing w:line="240" w:lineRule="auto" w:before="255" w:after="0"/>
        <w:ind w:left="318" w:right="0" w:hanging="211"/>
        <w:jc w:val="left"/>
        <w:rPr>
          <w:sz w:val="19"/>
        </w:rPr>
      </w:pPr>
      <w:r>
        <w:rPr>
          <w:sz w:val="19"/>
        </w:rPr>
        <w:t>This by-law may be cited as Customs By-law No.</w:t>
      </w:r>
      <w:r>
        <w:rPr>
          <w:spacing w:val="-10"/>
          <w:sz w:val="19"/>
        </w:rPr>
        <w:t> </w:t>
      </w:r>
      <w:r>
        <w:rPr>
          <w:sz w:val="19"/>
        </w:rPr>
        <w:t>0240004.</w:t>
      </w:r>
    </w:p>
    <w:p>
      <w:pPr>
        <w:pStyle w:val="BodyText"/>
        <w:spacing w:before="3"/>
        <w:rPr>
          <w:sz w:val="16"/>
        </w:rPr>
      </w:pPr>
    </w:p>
    <w:p>
      <w:pPr>
        <w:pStyle w:val="ListParagraph"/>
        <w:numPr>
          <w:ilvl w:val="0"/>
          <w:numId w:val="1"/>
        </w:numPr>
        <w:tabs>
          <w:tab w:pos="319" w:val="left" w:leader="none"/>
        </w:tabs>
        <w:spacing w:line="240" w:lineRule="auto" w:before="0" w:after="0"/>
        <w:ind w:left="318" w:right="0" w:hanging="211"/>
        <w:jc w:val="left"/>
        <w:rPr>
          <w:sz w:val="19"/>
        </w:rPr>
      </w:pPr>
      <w:r>
        <w:rPr>
          <w:sz w:val="19"/>
        </w:rPr>
        <w:t>This by-law shall take effect on and from 15 April</w:t>
      </w:r>
      <w:r>
        <w:rPr>
          <w:spacing w:val="-11"/>
          <w:sz w:val="19"/>
        </w:rPr>
        <w:t> </w:t>
      </w:r>
      <w:r>
        <w:rPr>
          <w:sz w:val="19"/>
        </w:rPr>
        <w:t>2002.</w:t>
      </w:r>
    </w:p>
    <w:p>
      <w:pPr>
        <w:pStyle w:val="BodyText"/>
        <w:spacing w:before="5"/>
        <w:rPr>
          <w:sz w:val="16"/>
        </w:rPr>
      </w:pPr>
    </w:p>
    <w:p>
      <w:pPr>
        <w:pStyle w:val="ListParagraph"/>
        <w:numPr>
          <w:ilvl w:val="0"/>
          <w:numId w:val="1"/>
        </w:numPr>
        <w:tabs>
          <w:tab w:pos="319" w:val="left" w:leader="none"/>
        </w:tabs>
        <w:spacing w:line="237" w:lineRule="auto" w:before="0" w:after="0"/>
        <w:ind w:left="108" w:right="619" w:firstLine="0"/>
        <w:jc w:val="left"/>
        <w:rPr>
          <w:sz w:val="19"/>
        </w:rPr>
      </w:pPr>
      <w:r>
        <w:rPr>
          <w:sz w:val="19"/>
        </w:rPr>
        <w:t>Item</w:t>
      </w:r>
      <w:r>
        <w:rPr>
          <w:spacing w:val="-3"/>
          <w:sz w:val="19"/>
        </w:rPr>
        <w:t> </w:t>
      </w:r>
      <w:r>
        <w:rPr>
          <w:sz w:val="19"/>
        </w:rPr>
        <w:t>72A</w:t>
      </w:r>
      <w:r>
        <w:rPr>
          <w:spacing w:val="-2"/>
          <w:sz w:val="19"/>
        </w:rPr>
        <w:t> </w:t>
      </w:r>
      <w:r>
        <w:rPr>
          <w:sz w:val="19"/>
        </w:rPr>
        <w:t>in</w:t>
      </w:r>
      <w:r>
        <w:rPr>
          <w:spacing w:val="-3"/>
          <w:sz w:val="19"/>
        </w:rPr>
        <w:t> </w:t>
      </w:r>
      <w:r>
        <w:rPr>
          <w:sz w:val="19"/>
        </w:rPr>
        <w:t>Part</w:t>
      </w:r>
      <w:r>
        <w:rPr>
          <w:spacing w:val="-2"/>
          <w:sz w:val="19"/>
        </w:rPr>
        <w:t> </w:t>
      </w:r>
      <w:r>
        <w:rPr>
          <w:sz w:val="19"/>
        </w:rPr>
        <w:t>III</w:t>
      </w:r>
      <w:r>
        <w:rPr>
          <w:spacing w:val="-2"/>
          <w:sz w:val="19"/>
        </w:rPr>
        <w:t> </w:t>
      </w:r>
      <w:r>
        <w:rPr>
          <w:sz w:val="19"/>
        </w:rPr>
        <w:t>of</w:t>
      </w:r>
      <w:r>
        <w:rPr>
          <w:spacing w:val="-3"/>
          <w:sz w:val="19"/>
        </w:rPr>
        <w:t> </w:t>
      </w:r>
      <w:r>
        <w:rPr>
          <w:sz w:val="19"/>
        </w:rPr>
        <w:t>Schedule</w:t>
      </w:r>
      <w:r>
        <w:rPr>
          <w:spacing w:val="-2"/>
          <w:sz w:val="19"/>
        </w:rPr>
        <w:t> </w:t>
      </w:r>
      <w:r>
        <w:rPr>
          <w:sz w:val="19"/>
        </w:rPr>
        <w:t>4</w:t>
      </w:r>
      <w:r>
        <w:rPr>
          <w:spacing w:val="-3"/>
          <w:sz w:val="19"/>
        </w:rPr>
        <w:t> </w:t>
      </w:r>
      <w:r>
        <w:rPr>
          <w:sz w:val="19"/>
        </w:rPr>
        <w:t>to</w:t>
      </w:r>
      <w:r>
        <w:rPr>
          <w:spacing w:val="-2"/>
          <w:sz w:val="19"/>
        </w:rPr>
        <w:t> </w:t>
      </w:r>
      <w:r>
        <w:rPr>
          <w:sz w:val="19"/>
        </w:rPr>
        <w:t>the</w:t>
      </w:r>
      <w:r>
        <w:rPr>
          <w:spacing w:val="-2"/>
          <w:sz w:val="19"/>
        </w:rPr>
        <w:t> </w:t>
      </w:r>
      <w:r>
        <w:rPr>
          <w:i/>
          <w:sz w:val="19"/>
        </w:rPr>
        <w:t>Customs</w:t>
      </w:r>
      <w:r>
        <w:rPr>
          <w:i/>
          <w:spacing w:val="-3"/>
          <w:sz w:val="19"/>
        </w:rPr>
        <w:t> Tariff</w:t>
      </w:r>
      <w:r>
        <w:rPr>
          <w:i/>
          <w:spacing w:val="-2"/>
          <w:sz w:val="19"/>
        </w:rPr>
        <w:t> </w:t>
      </w:r>
      <w:r>
        <w:rPr>
          <w:i/>
          <w:sz w:val="19"/>
        </w:rPr>
        <w:t>Act</w:t>
      </w:r>
      <w:r>
        <w:rPr>
          <w:i/>
          <w:spacing w:val="-3"/>
          <w:sz w:val="19"/>
        </w:rPr>
        <w:t> </w:t>
      </w:r>
      <w:r>
        <w:rPr>
          <w:i/>
          <w:sz w:val="19"/>
        </w:rPr>
        <w:t>1995</w:t>
      </w:r>
      <w:r>
        <w:rPr>
          <w:i/>
          <w:spacing w:val="-2"/>
          <w:sz w:val="19"/>
        </w:rPr>
        <w:t> </w:t>
      </w:r>
      <w:r>
        <w:rPr>
          <w:sz w:val="19"/>
        </w:rPr>
        <w:t>applies</w:t>
      </w:r>
      <w:r>
        <w:rPr>
          <w:spacing w:val="-2"/>
          <w:sz w:val="19"/>
        </w:rPr>
        <w:t> </w:t>
      </w:r>
      <w:r>
        <w:rPr>
          <w:sz w:val="19"/>
        </w:rPr>
        <w:t>to</w:t>
      </w:r>
      <w:r>
        <w:rPr>
          <w:spacing w:val="-3"/>
          <w:sz w:val="19"/>
        </w:rPr>
        <w:t> </w:t>
      </w:r>
      <w:r>
        <w:rPr>
          <w:sz w:val="19"/>
        </w:rPr>
        <w:t>food</w:t>
      </w:r>
      <w:r>
        <w:rPr>
          <w:spacing w:val="-2"/>
          <w:sz w:val="19"/>
        </w:rPr>
        <w:t> </w:t>
      </w:r>
      <w:r>
        <w:rPr>
          <w:sz w:val="19"/>
        </w:rPr>
        <w:t>grade</w:t>
      </w:r>
      <w:r>
        <w:rPr>
          <w:spacing w:val="-2"/>
          <w:sz w:val="19"/>
        </w:rPr>
        <w:t> </w:t>
      </w:r>
      <w:r>
        <w:rPr>
          <w:sz w:val="19"/>
        </w:rPr>
        <w:t>white</w:t>
      </w:r>
      <w:r>
        <w:rPr>
          <w:spacing w:val="-3"/>
          <w:sz w:val="19"/>
        </w:rPr>
        <w:t> </w:t>
      </w:r>
      <w:r>
        <w:rPr>
          <w:sz w:val="19"/>
        </w:rPr>
        <w:t>mineral</w:t>
      </w:r>
      <w:r>
        <w:rPr>
          <w:spacing w:val="-2"/>
          <w:sz w:val="19"/>
        </w:rPr>
        <w:t> </w:t>
      </w:r>
      <w:r>
        <w:rPr>
          <w:sz w:val="19"/>
        </w:rPr>
        <w:t>oil,</w:t>
      </w:r>
      <w:r>
        <w:rPr>
          <w:spacing w:val="-3"/>
          <w:sz w:val="19"/>
        </w:rPr>
        <w:t> </w:t>
      </w:r>
      <w:r>
        <w:rPr>
          <w:sz w:val="19"/>
        </w:rPr>
        <w:t>classified</w:t>
      </w:r>
      <w:r>
        <w:rPr>
          <w:spacing w:val="-2"/>
          <w:sz w:val="19"/>
        </w:rPr>
        <w:t> </w:t>
      </w:r>
      <w:r>
        <w:rPr>
          <w:sz w:val="19"/>
        </w:rPr>
        <w:t>under</w:t>
      </w:r>
      <w:r>
        <w:rPr>
          <w:spacing w:val="-2"/>
          <w:sz w:val="19"/>
        </w:rPr>
        <w:t> </w:t>
      </w:r>
      <w:r>
        <w:rPr>
          <w:sz w:val="19"/>
        </w:rPr>
        <w:t>subheading</w:t>
      </w:r>
      <w:r>
        <w:rPr>
          <w:spacing w:val="-3"/>
          <w:sz w:val="19"/>
        </w:rPr>
        <w:t> </w:t>
      </w:r>
      <w:r>
        <w:rPr>
          <w:sz w:val="19"/>
        </w:rPr>
        <w:t>2710.19.91</w:t>
      </w:r>
      <w:r>
        <w:rPr>
          <w:spacing w:val="-2"/>
          <w:sz w:val="19"/>
        </w:rPr>
        <w:t> </w:t>
      </w:r>
      <w:r>
        <w:rPr>
          <w:sz w:val="19"/>
        </w:rPr>
        <w:t>of</w:t>
      </w:r>
      <w:r>
        <w:rPr>
          <w:spacing w:val="-3"/>
          <w:sz w:val="19"/>
        </w:rPr>
        <w:t> </w:t>
      </w:r>
      <w:r>
        <w:rPr>
          <w:sz w:val="19"/>
        </w:rPr>
        <w:t>Schedule</w:t>
      </w:r>
      <w:r>
        <w:rPr>
          <w:spacing w:val="-2"/>
          <w:sz w:val="19"/>
        </w:rPr>
        <w:t> </w:t>
      </w:r>
      <w:r>
        <w:rPr>
          <w:sz w:val="19"/>
        </w:rPr>
        <w:t>3,</w:t>
      </w:r>
      <w:r>
        <w:rPr>
          <w:spacing w:val="-2"/>
          <w:sz w:val="19"/>
        </w:rPr>
        <w:t> </w:t>
      </w:r>
      <w:r>
        <w:rPr>
          <w:sz w:val="19"/>
        </w:rPr>
        <w:t>that</w:t>
      </w:r>
      <w:r>
        <w:rPr>
          <w:spacing w:val="-3"/>
          <w:sz w:val="19"/>
        </w:rPr>
        <w:t> </w:t>
      </w:r>
      <w:r>
        <w:rPr>
          <w:sz w:val="19"/>
        </w:rPr>
        <w:t>complies</w:t>
      </w:r>
      <w:r>
        <w:rPr>
          <w:spacing w:val="-2"/>
          <w:sz w:val="19"/>
        </w:rPr>
        <w:t> </w:t>
      </w:r>
      <w:r>
        <w:rPr>
          <w:sz w:val="19"/>
        </w:rPr>
        <w:t>with both the following United States Food and Drug Administration</w:t>
      </w:r>
      <w:r>
        <w:rPr>
          <w:spacing w:val="-10"/>
          <w:sz w:val="19"/>
        </w:rPr>
        <w:t> </w:t>
      </w:r>
      <w:r>
        <w:rPr>
          <w:sz w:val="19"/>
        </w:rPr>
        <w:t>Regulations:</w:t>
      </w:r>
    </w:p>
    <w:p>
      <w:pPr>
        <w:pStyle w:val="BodyText"/>
        <w:spacing w:before="4"/>
        <w:rPr>
          <w:sz w:val="16"/>
        </w:rPr>
      </w:pPr>
    </w:p>
    <w:p>
      <w:pPr>
        <w:pStyle w:val="ListParagraph"/>
        <w:numPr>
          <w:ilvl w:val="0"/>
          <w:numId w:val="2"/>
        </w:numPr>
        <w:tabs>
          <w:tab w:pos="393" w:val="left" w:leader="none"/>
        </w:tabs>
        <w:spacing w:line="240" w:lineRule="auto" w:before="0" w:after="0"/>
        <w:ind w:left="392" w:right="0" w:hanging="285"/>
        <w:jc w:val="left"/>
        <w:rPr>
          <w:sz w:val="19"/>
        </w:rPr>
      </w:pPr>
      <w:r>
        <w:rPr>
          <w:sz w:val="19"/>
        </w:rPr>
        <w:t>United States Food and Drug Administration Regulation 21 CFR 172.878;</w:t>
      </w:r>
      <w:r>
        <w:rPr>
          <w:spacing w:val="-12"/>
          <w:sz w:val="19"/>
        </w:rPr>
        <w:t> </w:t>
      </w:r>
      <w:r>
        <w:rPr>
          <w:sz w:val="19"/>
        </w:rPr>
        <w:t>and</w:t>
      </w:r>
    </w:p>
    <w:p>
      <w:pPr>
        <w:pStyle w:val="BodyText"/>
        <w:spacing w:before="3"/>
        <w:rPr>
          <w:sz w:val="16"/>
        </w:rPr>
      </w:pPr>
    </w:p>
    <w:p>
      <w:pPr>
        <w:pStyle w:val="ListParagraph"/>
        <w:numPr>
          <w:ilvl w:val="0"/>
          <w:numId w:val="2"/>
        </w:numPr>
        <w:tabs>
          <w:tab w:pos="393" w:val="left" w:leader="none"/>
        </w:tabs>
        <w:spacing w:line="240" w:lineRule="auto" w:before="0" w:after="0"/>
        <w:ind w:left="392" w:right="0" w:hanging="285"/>
        <w:jc w:val="left"/>
        <w:rPr>
          <w:sz w:val="19"/>
        </w:rPr>
      </w:pPr>
      <w:r>
        <w:rPr>
          <w:sz w:val="19"/>
        </w:rPr>
        <w:t>United States Food and Drug Administration Regulation CFR 178.3620</w:t>
      </w:r>
      <w:r>
        <w:rPr>
          <w:spacing w:val="-10"/>
          <w:sz w:val="19"/>
        </w:rPr>
        <w:t> </w:t>
      </w:r>
      <w:r>
        <w:rPr>
          <w:sz w:val="19"/>
        </w:rPr>
        <w:t>(a).</w:t>
      </w:r>
    </w:p>
    <w:p>
      <w:pPr>
        <w:pStyle w:val="BodyText"/>
        <w:spacing w:before="4"/>
        <w:rPr>
          <w:sz w:val="16"/>
        </w:rPr>
      </w:pPr>
    </w:p>
    <w:p>
      <w:pPr>
        <w:pStyle w:val="ListParagraph"/>
        <w:numPr>
          <w:ilvl w:val="0"/>
          <w:numId w:val="1"/>
        </w:numPr>
        <w:tabs>
          <w:tab w:pos="319" w:val="left" w:leader="none"/>
        </w:tabs>
        <w:spacing w:line="240" w:lineRule="auto" w:before="0" w:after="0"/>
        <w:ind w:left="318" w:right="0" w:hanging="211"/>
        <w:jc w:val="left"/>
        <w:rPr>
          <w:sz w:val="19"/>
        </w:rPr>
      </w:pPr>
      <w:r>
        <w:rPr>
          <w:sz w:val="19"/>
        </w:rPr>
        <w:t>For the purposes of this by-law, the "</w:t>
      </w:r>
      <w:r>
        <w:rPr>
          <w:i/>
          <w:sz w:val="19"/>
        </w:rPr>
        <w:t>Customs </w:t>
      </w:r>
      <w:r>
        <w:rPr>
          <w:i/>
          <w:spacing w:val="-3"/>
          <w:sz w:val="19"/>
        </w:rPr>
        <w:t>Tariff </w:t>
      </w:r>
      <w:r>
        <w:rPr>
          <w:i/>
          <w:sz w:val="19"/>
        </w:rPr>
        <w:t>Act 1995</w:t>
      </w:r>
      <w:r>
        <w:rPr>
          <w:sz w:val="19"/>
        </w:rPr>
        <w:t>" means the </w:t>
      </w:r>
      <w:r>
        <w:rPr>
          <w:i/>
          <w:sz w:val="19"/>
        </w:rPr>
        <w:t>Customs </w:t>
      </w:r>
      <w:r>
        <w:rPr>
          <w:i/>
          <w:spacing w:val="-3"/>
          <w:sz w:val="19"/>
        </w:rPr>
        <w:t>Tariff </w:t>
      </w:r>
      <w:r>
        <w:rPr>
          <w:i/>
          <w:sz w:val="19"/>
        </w:rPr>
        <w:t>Act 1995</w:t>
      </w:r>
      <w:r>
        <w:rPr>
          <w:sz w:val="19"/>
        </w:rPr>
        <w:t>, as amended or proposed to be</w:t>
      </w:r>
      <w:r>
        <w:rPr>
          <w:spacing w:val="-28"/>
          <w:sz w:val="19"/>
        </w:rPr>
        <w:t> </w:t>
      </w:r>
      <w:r>
        <w:rPr>
          <w:sz w:val="19"/>
        </w:rPr>
        <w:t>altered.</w:t>
      </w:r>
    </w:p>
    <w:p>
      <w:pPr>
        <w:pStyle w:val="BodyText"/>
        <w:spacing w:before="11"/>
        <w:rPr>
          <w:sz w:val="23"/>
        </w:rPr>
      </w:pPr>
    </w:p>
    <w:p>
      <w:pPr>
        <w:pStyle w:val="Heading2"/>
      </w:pPr>
      <w:r>
        <w:rPr>
          <w:color w:val="202020"/>
        </w:rPr>
        <w:t>BY-LAW NO. 0240005</w:t>
      </w:r>
    </w:p>
    <w:p>
      <w:pPr>
        <w:pStyle w:val="ListParagraph"/>
        <w:numPr>
          <w:ilvl w:val="0"/>
          <w:numId w:val="3"/>
        </w:numPr>
        <w:tabs>
          <w:tab w:pos="319" w:val="left" w:leader="none"/>
        </w:tabs>
        <w:spacing w:line="240" w:lineRule="auto" w:before="231" w:after="0"/>
        <w:ind w:left="318" w:right="0" w:hanging="211"/>
        <w:jc w:val="left"/>
        <w:rPr>
          <w:sz w:val="19"/>
        </w:rPr>
      </w:pPr>
      <w:r>
        <w:rPr>
          <w:sz w:val="19"/>
        </w:rPr>
        <w:t>This by-law may be cited as Customs By-law No.</w:t>
      </w:r>
      <w:r>
        <w:rPr>
          <w:spacing w:val="-10"/>
          <w:sz w:val="19"/>
        </w:rPr>
        <w:t> </w:t>
      </w:r>
      <w:r>
        <w:rPr>
          <w:sz w:val="19"/>
        </w:rPr>
        <w:t>0240005.</w:t>
      </w:r>
    </w:p>
    <w:p>
      <w:pPr>
        <w:pStyle w:val="BodyText"/>
        <w:spacing w:before="3"/>
        <w:rPr>
          <w:sz w:val="16"/>
        </w:rPr>
      </w:pPr>
    </w:p>
    <w:p>
      <w:pPr>
        <w:pStyle w:val="ListParagraph"/>
        <w:numPr>
          <w:ilvl w:val="0"/>
          <w:numId w:val="3"/>
        </w:numPr>
        <w:tabs>
          <w:tab w:pos="319" w:val="left" w:leader="none"/>
        </w:tabs>
        <w:spacing w:line="240" w:lineRule="auto" w:before="0" w:after="0"/>
        <w:ind w:left="318" w:right="0" w:hanging="211"/>
        <w:jc w:val="left"/>
        <w:rPr>
          <w:sz w:val="19"/>
        </w:rPr>
      </w:pPr>
      <w:r>
        <w:rPr>
          <w:sz w:val="19"/>
        </w:rPr>
        <w:t>This by-law shall take effect on and from 15 April</w:t>
      </w:r>
      <w:r>
        <w:rPr>
          <w:spacing w:val="-11"/>
          <w:sz w:val="19"/>
        </w:rPr>
        <w:t> </w:t>
      </w:r>
      <w:r>
        <w:rPr>
          <w:sz w:val="19"/>
        </w:rPr>
        <w:t>2002.</w:t>
      </w:r>
    </w:p>
    <w:p>
      <w:pPr>
        <w:pStyle w:val="BodyText"/>
        <w:spacing w:before="5"/>
        <w:rPr>
          <w:sz w:val="16"/>
        </w:rPr>
      </w:pPr>
    </w:p>
    <w:p>
      <w:pPr>
        <w:pStyle w:val="ListParagraph"/>
        <w:numPr>
          <w:ilvl w:val="0"/>
          <w:numId w:val="3"/>
        </w:numPr>
        <w:tabs>
          <w:tab w:pos="319" w:val="left" w:leader="none"/>
        </w:tabs>
        <w:spacing w:line="237" w:lineRule="auto" w:before="0" w:after="0"/>
        <w:ind w:left="108" w:right="345" w:firstLine="0"/>
        <w:jc w:val="left"/>
        <w:rPr>
          <w:sz w:val="19"/>
        </w:rPr>
      </w:pPr>
      <w:r>
        <w:rPr>
          <w:sz w:val="19"/>
        </w:rPr>
        <w:t>Item</w:t>
      </w:r>
      <w:r>
        <w:rPr>
          <w:spacing w:val="-3"/>
          <w:sz w:val="19"/>
        </w:rPr>
        <w:t> </w:t>
      </w:r>
      <w:r>
        <w:rPr>
          <w:sz w:val="19"/>
        </w:rPr>
        <w:t>72A</w:t>
      </w:r>
      <w:r>
        <w:rPr>
          <w:spacing w:val="-3"/>
          <w:sz w:val="19"/>
        </w:rPr>
        <w:t> </w:t>
      </w:r>
      <w:r>
        <w:rPr>
          <w:sz w:val="19"/>
        </w:rPr>
        <w:t>in</w:t>
      </w:r>
      <w:r>
        <w:rPr>
          <w:spacing w:val="-2"/>
          <w:sz w:val="19"/>
        </w:rPr>
        <w:t> </w:t>
      </w:r>
      <w:r>
        <w:rPr>
          <w:sz w:val="19"/>
        </w:rPr>
        <w:t>Part</w:t>
      </w:r>
      <w:r>
        <w:rPr>
          <w:spacing w:val="-3"/>
          <w:sz w:val="19"/>
        </w:rPr>
        <w:t> </w:t>
      </w:r>
      <w:r>
        <w:rPr>
          <w:sz w:val="19"/>
        </w:rPr>
        <w:t>III</w:t>
      </w:r>
      <w:r>
        <w:rPr>
          <w:spacing w:val="-2"/>
          <w:sz w:val="19"/>
        </w:rPr>
        <w:t> </w:t>
      </w:r>
      <w:r>
        <w:rPr>
          <w:sz w:val="19"/>
        </w:rPr>
        <w:t>of</w:t>
      </w:r>
      <w:r>
        <w:rPr>
          <w:spacing w:val="-3"/>
          <w:sz w:val="19"/>
        </w:rPr>
        <w:t> </w:t>
      </w:r>
      <w:r>
        <w:rPr>
          <w:sz w:val="19"/>
        </w:rPr>
        <w:t>Schedule</w:t>
      </w:r>
      <w:r>
        <w:rPr>
          <w:spacing w:val="-2"/>
          <w:sz w:val="19"/>
        </w:rPr>
        <w:t> </w:t>
      </w:r>
      <w:r>
        <w:rPr>
          <w:sz w:val="19"/>
        </w:rPr>
        <w:t>4</w:t>
      </w:r>
      <w:r>
        <w:rPr>
          <w:spacing w:val="-3"/>
          <w:sz w:val="19"/>
        </w:rPr>
        <w:t> </w:t>
      </w:r>
      <w:r>
        <w:rPr>
          <w:sz w:val="19"/>
        </w:rPr>
        <w:t>to</w:t>
      </w:r>
      <w:r>
        <w:rPr>
          <w:spacing w:val="-2"/>
          <w:sz w:val="19"/>
        </w:rPr>
        <w:t> </w:t>
      </w:r>
      <w:r>
        <w:rPr>
          <w:sz w:val="19"/>
        </w:rPr>
        <w:t>the</w:t>
      </w:r>
      <w:r>
        <w:rPr>
          <w:spacing w:val="-3"/>
          <w:sz w:val="19"/>
        </w:rPr>
        <w:t> </w:t>
      </w:r>
      <w:r>
        <w:rPr>
          <w:i/>
          <w:sz w:val="19"/>
        </w:rPr>
        <w:t>Customs</w:t>
      </w:r>
      <w:r>
        <w:rPr>
          <w:i/>
          <w:spacing w:val="-2"/>
          <w:sz w:val="19"/>
        </w:rPr>
        <w:t> </w:t>
      </w:r>
      <w:r>
        <w:rPr>
          <w:i/>
          <w:spacing w:val="-3"/>
          <w:sz w:val="19"/>
        </w:rPr>
        <w:t>Tariff </w:t>
      </w:r>
      <w:r>
        <w:rPr>
          <w:i/>
          <w:sz w:val="19"/>
        </w:rPr>
        <w:t>Act</w:t>
      </w:r>
      <w:r>
        <w:rPr>
          <w:i/>
          <w:spacing w:val="-2"/>
          <w:sz w:val="19"/>
        </w:rPr>
        <w:t> </w:t>
      </w:r>
      <w:r>
        <w:rPr>
          <w:i/>
          <w:sz w:val="19"/>
        </w:rPr>
        <w:t>1995</w:t>
      </w:r>
      <w:r>
        <w:rPr>
          <w:i/>
          <w:spacing w:val="-3"/>
          <w:sz w:val="19"/>
        </w:rPr>
        <w:t> </w:t>
      </w:r>
      <w:r>
        <w:rPr>
          <w:sz w:val="19"/>
        </w:rPr>
        <w:t>applies</w:t>
      </w:r>
      <w:r>
        <w:rPr>
          <w:spacing w:val="-2"/>
          <w:sz w:val="19"/>
        </w:rPr>
        <w:t> </w:t>
      </w:r>
      <w:r>
        <w:rPr>
          <w:sz w:val="19"/>
        </w:rPr>
        <w:t>to</w:t>
      </w:r>
      <w:r>
        <w:rPr>
          <w:spacing w:val="-3"/>
          <w:sz w:val="19"/>
        </w:rPr>
        <w:t> </w:t>
      </w:r>
      <w:r>
        <w:rPr>
          <w:sz w:val="19"/>
        </w:rPr>
        <w:t>aromatic</w:t>
      </w:r>
      <w:r>
        <w:rPr>
          <w:spacing w:val="-2"/>
          <w:sz w:val="19"/>
        </w:rPr>
        <w:t> </w:t>
      </w:r>
      <w:r>
        <w:rPr>
          <w:sz w:val="19"/>
        </w:rPr>
        <w:t>process</w:t>
      </w:r>
      <w:r>
        <w:rPr>
          <w:spacing w:val="-3"/>
          <w:sz w:val="19"/>
        </w:rPr>
        <w:t> </w:t>
      </w:r>
      <w:r>
        <w:rPr>
          <w:sz w:val="19"/>
        </w:rPr>
        <w:t>oils,</w:t>
      </w:r>
      <w:r>
        <w:rPr>
          <w:spacing w:val="-3"/>
          <w:sz w:val="19"/>
        </w:rPr>
        <w:t> </w:t>
      </w:r>
      <w:r>
        <w:rPr>
          <w:sz w:val="19"/>
        </w:rPr>
        <w:t>classified</w:t>
      </w:r>
      <w:r>
        <w:rPr>
          <w:spacing w:val="-2"/>
          <w:sz w:val="19"/>
        </w:rPr>
        <w:t> </w:t>
      </w:r>
      <w:r>
        <w:rPr>
          <w:sz w:val="19"/>
        </w:rPr>
        <w:t>under</w:t>
      </w:r>
      <w:r>
        <w:rPr>
          <w:spacing w:val="-3"/>
          <w:sz w:val="19"/>
        </w:rPr>
        <w:t> </w:t>
      </w:r>
      <w:r>
        <w:rPr>
          <w:sz w:val="19"/>
        </w:rPr>
        <w:t>subheadings</w:t>
      </w:r>
      <w:r>
        <w:rPr>
          <w:spacing w:val="-2"/>
          <w:sz w:val="19"/>
        </w:rPr>
        <w:t> </w:t>
      </w:r>
      <w:r>
        <w:rPr>
          <w:sz w:val="19"/>
        </w:rPr>
        <w:t>2710.19.91,</w:t>
      </w:r>
      <w:r>
        <w:rPr>
          <w:spacing w:val="-3"/>
          <w:sz w:val="19"/>
        </w:rPr>
        <w:t> </w:t>
      </w:r>
      <w:r>
        <w:rPr>
          <w:sz w:val="19"/>
        </w:rPr>
        <w:t>2710.91.91</w:t>
      </w:r>
      <w:r>
        <w:rPr>
          <w:spacing w:val="-2"/>
          <w:sz w:val="19"/>
        </w:rPr>
        <w:t> </w:t>
      </w:r>
      <w:r>
        <w:rPr>
          <w:sz w:val="19"/>
        </w:rPr>
        <w:t>or</w:t>
      </w:r>
      <w:r>
        <w:rPr>
          <w:spacing w:val="-3"/>
          <w:sz w:val="19"/>
        </w:rPr>
        <w:t> </w:t>
      </w:r>
      <w:r>
        <w:rPr>
          <w:sz w:val="19"/>
        </w:rPr>
        <w:t>2710.99.91</w:t>
      </w:r>
      <w:r>
        <w:rPr>
          <w:spacing w:val="-2"/>
          <w:sz w:val="19"/>
        </w:rPr>
        <w:t> </w:t>
      </w:r>
      <w:r>
        <w:rPr>
          <w:sz w:val="19"/>
        </w:rPr>
        <w:t>of</w:t>
      </w:r>
      <w:r>
        <w:rPr>
          <w:spacing w:val="-3"/>
          <w:sz w:val="19"/>
        </w:rPr>
        <w:t> </w:t>
      </w:r>
      <w:r>
        <w:rPr>
          <w:sz w:val="19"/>
        </w:rPr>
        <w:t>Schedule</w:t>
      </w:r>
      <w:r>
        <w:rPr>
          <w:spacing w:val="-2"/>
          <w:sz w:val="19"/>
        </w:rPr>
        <w:t> </w:t>
      </w:r>
      <w:r>
        <w:rPr>
          <w:sz w:val="19"/>
        </w:rPr>
        <w:t>3, provided that the oils meet all of the criteria set out in the </w:t>
      </w:r>
      <w:r>
        <w:rPr>
          <w:spacing w:val="-5"/>
          <w:sz w:val="19"/>
        </w:rPr>
        <w:t>Table</w:t>
      </w:r>
      <w:r>
        <w:rPr>
          <w:spacing w:val="-16"/>
          <w:sz w:val="19"/>
        </w:rPr>
        <w:t> </w:t>
      </w:r>
      <w:r>
        <w:rPr>
          <w:sz w:val="19"/>
        </w:rPr>
        <w:t>below.</w:t>
      </w:r>
    </w:p>
    <w:p>
      <w:pPr>
        <w:spacing w:after="0" w:line="237" w:lineRule="auto"/>
        <w:jc w:val="left"/>
        <w:rPr>
          <w:sz w:val="19"/>
        </w:rPr>
        <w:sectPr>
          <w:pgSz w:w="16840" w:h="11900" w:orient="landscape"/>
          <w:pgMar w:top="500" w:bottom="280" w:left="580" w:right="440"/>
        </w:sectPr>
      </w:pPr>
    </w:p>
    <w:p>
      <w:pPr>
        <w:pStyle w:val="BodyText"/>
        <w:spacing w:before="77"/>
        <w:ind w:left="6203" w:right="6302"/>
        <w:jc w:val="center"/>
      </w:pPr>
      <w:r>
        <w:rPr/>
        <w:t>TABLE</w:t>
      </w:r>
    </w:p>
    <w:p>
      <w:pPr>
        <w:pStyle w:val="BodyText"/>
        <w:spacing w:before="6"/>
        <w:rPr>
          <w:sz w:val="16"/>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7157"/>
        <w:gridCol w:w="4478"/>
        <w:gridCol w:w="3951"/>
      </w:tblGrid>
      <w:tr>
        <w:trPr>
          <w:trHeight w:val="593" w:hRule="atLeast"/>
        </w:trPr>
        <w:tc>
          <w:tcPr>
            <w:tcW w:w="7157" w:type="dxa"/>
            <w:tcBorders>
              <w:left w:val="single" w:sz="6" w:space="0" w:color="808080"/>
            </w:tcBorders>
          </w:tcPr>
          <w:p>
            <w:pPr>
              <w:pStyle w:val="TableParagraph"/>
              <w:rPr>
                <w:b/>
                <w:sz w:val="19"/>
              </w:rPr>
            </w:pPr>
            <w:r>
              <w:rPr>
                <w:b/>
                <w:color w:val="202020"/>
                <w:sz w:val="19"/>
              </w:rPr>
              <w:t>Property</w:t>
            </w:r>
          </w:p>
        </w:tc>
        <w:tc>
          <w:tcPr>
            <w:tcW w:w="4478" w:type="dxa"/>
          </w:tcPr>
          <w:p>
            <w:pPr>
              <w:pStyle w:val="TableParagraph"/>
              <w:rPr>
                <w:b/>
                <w:sz w:val="19"/>
              </w:rPr>
            </w:pPr>
            <w:r>
              <w:rPr>
                <w:b/>
                <w:color w:val="202020"/>
                <w:sz w:val="19"/>
              </w:rPr>
              <w:t>Test Method</w:t>
            </w:r>
          </w:p>
        </w:tc>
        <w:tc>
          <w:tcPr>
            <w:tcW w:w="3951" w:type="dxa"/>
            <w:tcBorders>
              <w:right w:val="nil"/>
            </w:tcBorders>
          </w:tcPr>
          <w:p>
            <w:pPr>
              <w:pStyle w:val="TableParagraph"/>
              <w:rPr>
                <w:b/>
                <w:sz w:val="19"/>
              </w:rPr>
            </w:pPr>
            <w:r>
              <w:rPr>
                <w:b/>
                <w:color w:val="202020"/>
                <w:sz w:val="19"/>
              </w:rPr>
              <w:t>Value</w:t>
            </w:r>
          </w:p>
        </w:tc>
      </w:tr>
      <w:tr>
        <w:trPr>
          <w:trHeight w:val="593" w:hRule="atLeast"/>
        </w:trPr>
        <w:tc>
          <w:tcPr>
            <w:tcW w:w="7157" w:type="dxa"/>
            <w:tcBorders>
              <w:left w:val="single" w:sz="6" w:space="0" w:color="808080"/>
            </w:tcBorders>
          </w:tcPr>
          <w:p>
            <w:pPr>
              <w:pStyle w:val="TableParagraph"/>
              <w:rPr>
                <w:sz w:val="19"/>
              </w:rPr>
            </w:pPr>
            <w:r>
              <w:rPr>
                <w:color w:val="202020"/>
                <w:sz w:val="19"/>
              </w:rPr>
              <w:t>Density at 15 degrees Celsius</w:t>
            </w:r>
          </w:p>
        </w:tc>
        <w:tc>
          <w:tcPr>
            <w:tcW w:w="4478" w:type="dxa"/>
          </w:tcPr>
          <w:p>
            <w:pPr>
              <w:pStyle w:val="TableParagraph"/>
              <w:rPr>
                <w:sz w:val="19"/>
              </w:rPr>
            </w:pPr>
            <w:r>
              <w:rPr>
                <w:color w:val="202020"/>
                <w:sz w:val="19"/>
              </w:rPr>
              <w:t>ASTM D1298 or D4502</w:t>
            </w:r>
          </w:p>
        </w:tc>
        <w:tc>
          <w:tcPr>
            <w:tcW w:w="3951" w:type="dxa"/>
            <w:tcBorders>
              <w:right w:val="nil"/>
            </w:tcBorders>
          </w:tcPr>
          <w:p>
            <w:pPr>
              <w:pStyle w:val="TableParagraph"/>
              <w:rPr>
                <w:sz w:val="19"/>
              </w:rPr>
            </w:pPr>
            <w:r>
              <w:rPr>
                <w:color w:val="202020"/>
                <w:sz w:val="19"/>
              </w:rPr>
              <w:t>0.9 minimum</w:t>
            </w:r>
          </w:p>
        </w:tc>
      </w:tr>
      <w:tr>
        <w:trPr>
          <w:trHeight w:val="593" w:hRule="atLeast"/>
        </w:trPr>
        <w:tc>
          <w:tcPr>
            <w:tcW w:w="7157" w:type="dxa"/>
            <w:tcBorders>
              <w:left w:val="single" w:sz="6" w:space="0" w:color="808080"/>
            </w:tcBorders>
          </w:tcPr>
          <w:p>
            <w:pPr>
              <w:pStyle w:val="TableParagraph"/>
              <w:rPr>
                <w:sz w:val="19"/>
              </w:rPr>
            </w:pPr>
            <w:r>
              <w:rPr>
                <w:color w:val="202020"/>
                <w:sz w:val="19"/>
              </w:rPr>
              <w:t>Aniline Point, degrees Celsius</w:t>
            </w:r>
          </w:p>
        </w:tc>
        <w:tc>
          <w:tcPr>
            <w:tcW w:w="4478" w:type="dxa"/>
          </w:tcPr>
          <w:p>
            <w:pPr>
              <w:pStyle w:val="TableParagraph"/>
              <w:rPr>
                <w:sz w:val="19"/>
              </w:rPr>
            </w:pPr>
            <w:r>
              <w:rPr>
                <w:color w:val="202020"/>
                <w:sz w:val="19"/>
              </w:rPr>
              <w:t>ASTM D611</w:t>
            </w:r>
          </w:p>
        </w:tc>
        <w:tc>
          <w:tcPr>
            <w:tcW w:w="3951" w:type="dxa"/>
            <w:tcBorders>
              <w:right w:val="nil"/>
            </w:tcBorders>
          </w:tcPr>
          <w:p>
            <w:pPr>
              <w:pStyle w:val="TableParagraph"/>
              <w:rPr>
                <w:sz w:val="19"/>
              </w:rPr>
            </w:pPr>
            <w:r>
              <w:rPr>
                <w:color w:val="202020"/>
                <w:sz w:val="19"/>
              </w:rPr>
              <w:t>70 maximum</w:t>
            </w:r>
          </w:p>
        </w:tc>
      </w:tr>
      <w:tr>
        <w:trPr>
          <w:trHeight w:val="593" w:hRule="atLeast"/>
        </w:trPr>
        <w:tc>
          <w:tcPr>
            <w:tcW w:w="7157" w:type="dxa"/>
            <w:tcBorders>
              <w:left w:val="single" w:sz="6" w:space="0" w:color="808080"/>
            </w:tcBorders>
          </w:tcPr>
          <w:p>
            <w:pPr>
              <w:pStyle w:val="TableParagraph"/>
              <w:rPr>
                <w:sz w:val="19"/>
              </w:rPr>
            </w:pPr>
            <w:r>
              <w:rPr>
                <w:color w:val="202020"/>
                <w:sz w:val="19"/>
              </w:rPr>
              <w:t>Refractive Index at 20 degrees Celsius</w:t>
            </w:r>
          </w:p>
        </w:tc>
        <w:tc>
          <w:tcPr>
            <w:tcW w:w="4478" w:type="dxa"/>
          </w:tcPr>
          <w:p>
            <w:pPr>
              <w:pStyle w:val="TableParagraph"/>
              <w:rPr>
                <w:sz w:val="19"/>
              </w:rPr>
            </w:pPr>
            <w:r>
              <w:rPr>
                <w:color w:val="202020"/>
                <w:sz w:val="19"/>
              </w:rPr>
              <w:t>ASTM D1298 or D1747</w:t>
            </w:r>
          </w:p>
        </w:tc>
        <w:tc>
          <w:tcPr>
            <w:tcW w:w="3951" w:type="dxa"/>
            <w:tcBorders>
              <w:right w:val="nil"/>
            </w:tcBorders>
          </w:tcPr>
          <w:p>
            <w:pPr>
              <w:pStyle w:val="TableParagraph"/>
              <w:rPr>
                <w:sz w:val="19"/>
              </w:rPr>
            </w:pPr>
            <w:r>
              <w:rPr>
                <w:color w:val="202020"/>
                <w:sz w:val="19"/>
              </w:rPr>
              <w:t>1.490 minimum</w:t>
            </w:r>
          </w:p>
        </w:tc>
      </w:tr>
      <w:tr>
        <w:trPr>
          <w:trHeight w:val="593" w:hRule="atLeast"/>
        </w:trPr>
        <w:tc>
          <w:tcPr>
            <w:tcW w:w="7157" w:type="dxa"/>
            <w:tcBorders>
              <w:left w:val="single" w:sz="6" w:space="0" w:color="808080"/>
            </w:tcBorders>
          </w:tcPr>
          <w:p>
            <w:pPr>
              <w:pStyle w:val="TableParagraph"/>
              <w:rPr>
                <w:sz w:val="19"/>
              </w:rPr>
            </w:pPr>
            <w:r>
              <w:rPr>
                <w:color w:val="202020"/>
                <w:sz w:val="19"/>
              </w:rPr>
              <w:t>Pour Point degrees Celsius</w:t>
            </w:r>
          </w:p>
        </w:tc>
        <w:tc>
          <w:tcPr>
            <w:tcW w:w="4478" w:type="dxa"/>
          </w:tcPr>
          <w:p>
            <w:pPr>
              <w:pStyle w:val="TableParagraph"/>
              <w:rPr>
                <w:sz w:val="19"/>
              </w:rPr>
            </w:pPr>
            <w:r>
              <w:rPr>
                <w:color w:val="202020"/>
                <w:sz w:val="19"/>
              </w:rPr>
              <w:t>ASTM D97</w:t>
            </w:r>
          </w:p>
        </w:tc>
        <w:tc>
          <w:tcPr>
            <w:tcW w:w="3951" w:type="dxa"/>
            <w:tcBorders>
              <w:right w:val="nil"/>
            </w:tcBorders>
          </w:tcPr>
          <w:p>
            <w:pPr>
              <w:pStyle w:val="TableParagraph"/>
              <w:rPr>
                <w:sz w:val="19"/>
              </w:rPr>
            </w:pPr>
            <w:r>
              <w:rPr>
                <w:color w:val="202020"/>
                <w:sz w:val="19"/>
              </w:rPr>
              <w:t>-9 minimum</w:t>
            </w:r>
          </w:p>
        </w:tc>
      </w:tr>
      <w:tr>
        <w:trPr>
          <w:trHeight w:val="593" w:hRule="atLeast"/>
        </w:trPr>
        <w:tc>
          <w:tcPr>
            <w:tcW w:w="7157" w:type="dxa"/>
            <w:tcBorders>
              <w:left w:val="single" w:sz="6" w:space="0" w:color="808080"/>
            </w:tcBorders>
          </w:tcPr>
          <w:p>
            <w:pPr>
              <w:pStyle w:val="TableParagraph"/>
              <w:rPr>
                <w:sz w:val="19"/>
              </w:rPr>
            </w:pPr>
            <w:r>
              <w:rPr>
                <w:color w:val="202020"/>
                <w:sz w:val="19"/>
              </w:rPr>
              <w:t>Viscosity Index</w:t>
            </w:r>
          </w:p>
        </w:tc>
        <w:tc>
          <w:tcPr>
            <w:tcW w:w="4478" w:type="dxa"/>
          </w:tcPr>
          <w:p>
            <w:pPr>
              <w:pStyle w:val="TableParagraph"/>
              <w:rPr>
                <w:sz w:val="19"/>
              </w:rPr>
            </w:pPr>
            <w:r>
              <w:rPr>
                <w:color w:val="202020"/>
                <w:sz w:val="19"/>
              </w:rPr>
              <w:t>ASTM D2270</w:t>
            </w:r>
          </w:p>
        </w:tc>
        <w:tc>
          <w:tcPr>
            <w:tcW w:w="3951" w:type="dxa"/>
            <w:tcBorders>
              <w:right w:val="nil"/>
            </w:tcBorders>
          </w:tcPr>
          <w:p>
            <w:pPr>
              <w:pStyle w:val="TableParagraph"/>
              <w:rPr>
                <w:sz w:val="19"/>
              </w:rPr>
            </w:pPr>
            <w:r>
              <w:rPr>
                <w:color w:val="202020"/>
                <w:sz w:val="19"/>
              </w:rPr>
              <w:t>80 maximum</w:t>
            </w:r>
          </w:p>
        </w:tc>
      </w:tr>
    </w:tbl>
    <w:p>
      <w:pPr>
        <w:pStyle w:val="BodyText"/>
        <w:spacing w:before="3"/>
        <w:rPr>
          <w:sz w:val="16"/>
        </w:rPr>
      </w:pPr>
    </w:p>
    <w:p>
      <w:pPr>
        <w:pStyle w:val="ListParagraph"/>
        <w:numPr>
          <w:ilvl w:val="0"/>
          <w:numId w:val="3"/>
        </w:numPr>
        <w:tabs>
          <w:tab w:pos="319" w:val="left" w:leader="none"/>
        </w:tabs>
        <w:spacing w:line="240" w:lineRule="auto" w:before="0" w:after="0"/>
        <w:ind w:left="318" w:right="0" w:hanging="211"/>
        <w:jc w:val="left"/>
        <w:rPr>
          <w:sz w:val="19"/>
        </w:rPr>
      </w:pPr>
      <w:r>
        <w:rPr>
          <w:sz w:val="19"/>
        </w:rPr>
        <w:t>For the purposes of this by-law, the "</w:t>
      </w:r>
      <w:r>
        <w:rPr>
          <w:i/>
          <w:sz w:val="19"/>
        </w:rPr>
        <w:t>Customs </w:t>
      </w:r>
      <w:r>
        <w:rPr>
          <w:i/>
          <w:spacing w:val="-3"/>
          <w:sz w:val="19"/>
        </w:rPr>
        <w:t>Tariff </w:t>
      </w:r>
      <w:r>
        <w:rPr>
          <w:i/>
          <w:sz w:val="19"/>
        </w:rPr>
        <w:t>Act 1995</w:t>
      </w:r>
      <w:r>
        <w:rPr>
          <w:sz w:val="19"/>
        </w:rPr>
        <w:t>" meansthe </w:t>
      </w:r>
      <w:r>
        <w:rPr>
          <w:i/>
          <w:sz w:val="19"/>
        </w:rPr>
        <w:t>Customs </w:t>
      </w:r>
      <w:r>
        <w:rPr>
          <w:i/>
          <w:spacing w:val="-3"/>
          <w:sz w:val="19"/>
        </w:rPr>
        <w:t>Tariff </w:t>
      </w:r>
      <w:r>
        <w:rPr>
          <w:i/>
          <w:sz w:val="19"/>
        </w:rPr>
        <w:t>Act 1995</w:t>
      </w:r>
      <w:r>
        <w:rPr>
          <w:sz w:val="19"/>
        </w:rPr>
        <w:t>, as amended or proposed to be</w:t>
      </w:r>
      <w:r>
        <w:rPr>
          <w:spacing w:val="-27"/>
          <w:sz w:val="19"/>
        </w:rPr>
        <w:t> </w:t>
      </w:r>
      <w:r>
        <w:rPr>
          <w:sz w:val="19"/>
        </w:rPr>
        <w:t>altered.</w:t>
      </w:r>
    </w:p>
    <w:p>
      <w:pPr>
        <w:pStyle w:val="BodyText"/>
        <w:spacing w:before="3"/>
        <w:rPr>
          <w:sz w:val="16"/>
        </w:rPr>
      </w:pPr>
    </w:p>
    <w:p>
      <w:pPr>
        <w:spacing w:before="0"/>
        <w:ind w:left="6204" w:right="6302" w:firstLine="0"/>
        <w:jc w:val="center"/>
        <w:rPr>
          <w:b/>
          <w:sz w:val="19"/>
        </w:rPr>
      </w:pPr>
      <w:r>
        <w:rPr>
          <w:b/>
          <w:sz w:val="19"/>
        </w:rPr>
        <w:t>Item 72B of Part III of Schedule 4</w:t>
      </w:r>
    </w:p>
    <w:p>
      <w:pPr>
        <w:pStyle w:val="BodyText"/>
        <w:spacing w:before="6"/>
        <w:rPr>
          <w:b/>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468"/>
        <w:gridCol w:w="10850"/>
        <w:gridCol w:w="920"/>
        <w:gridCol w:w="2354"/>
      </w:tblGrid>
      <w:tr>
        <w:trPr>
          <w:trHeight w:val="1026" w:hRule="atLeast"/>
        </w:trPr>
        <w:tc>
          <w:tcPr>
            <w:tcW w:w="1468" w:type="dxa"/>
            <w:tcBorders>
              <w:left w:val="nil"/>
            </w:tcBorders>
          </w:tcPr>
          <w:p>
            <w:pPr>
              <w:pStyle w:val="TableParagraph"/>
              <w:ind w:left="101"/>
              <w:rPr>
                <w:sz w:val="19"/>
              </w:rPr>
            </w:pPr>
            <w:r>
              <w:rPr>
                <w:color w:val="202020"/>
                <w:sz w:val="19"/>
              </w:rPr>
              <w:t>72B</w:t>
            </w:r>
          </w:p>
        </w:tc>
        <w:tc>
          <w:tcPr>
            <w:tcW w:w="10850" w:type="dxa"/>
          </w:tcPr>
          <w:p>
            <w:pPr>
              <w:pStyle w:val="TableParagraph"/>
              <w:spacing w:line="237" w:lineRule="auto" w:before="93"/>
              <w:ind w:right="111"/>
              <w:rPr>
                <w:sz w:val="19"/>
              </w:rPr>
            </w:pPr>
            <w:r>
              <w:rPr>
                <w:color w:val="202020"/>
                <w:sz w:val="19"/>
              </w:rPr>
              <w:t>Goods, classified under heading 3819.00.00 of Schedule 3, being goods that have been approved by the Minister for the Environment and Heritage as being exempt from the Product Stewardship Oil Levy, as prescribed by by-law, entered for home consumption on or after 15 April 2002</w:t>
            </w:r>
          </w:p>
        </w:tc>
        <w:tc>
          <w:tcPr>
            <w:tcW w:w="920" w:type="dxa"/>
          </w:tcPr>
          <w:p>
            <w:pPr>
              <w:pStyle w:val="TableParagraph"/>
              <w:spacing w:before="0"/>
              <w:ind w:left="0"/>
              <w:rPr>
                <w:rFonts w:ascii="Times New Roman"/>
                <w:sz w:val="18"/>
              </w:rPr>
            </w:pPr>
          </w:p>
        </w:tc>
        <w:tc>
          <w:tcPr>
            <w:tcW w:w="2354" w:type="dxa"/>
            <w:tcBorders>
              <w:right w:val="nil"/>
            </w:tcBorders>
          </w:tcPr>
          <w:p>
            <w:pPr>
              <w:pStyle w:val="TableParagraph"/>
              <w:rPr>
                <w:sz w:val="19"/>
              </w:rPr>
            </w:pPr>
            <w:r>
              <w:rPr>
                <w:color w:val="202020"/>
                <w:sz w:val="19"/>
              </w:rPr>
              <w:t>5%</w:t>
            </w:r>
          </w:p>
        </w:tc>
      </w:tr>
    </w:tbl>
    <w:p>
      <w:pPr>
        <w:pStyle w:val="BodyText"/>
        <w:spacing w:before="10"/>
        <w:rPr>
          <w:b/>
          <w:sz w:val="23"/>
        </w:rPr>
      </w:pPr>
    </w:p>
    <w:p>
      <w:pPr>
        <w:pStyle w:val="Heading2"/>
        <w:spacing w:before="1"/>
      </w:pPr>
      <w:r>
        <w:rPr>
          <w:color w:val="202020"/>
        </w:rPr>
        <w:t>BY-LAW NO. 0240006</w:t>
      </w:r>
    </w:p>
    <w:p>
      <w:pPr>
        <w:pStyle w:val="ListParagraph"/>
        <w:numPr>
          <w:ilvl w:val="0"/>
          <w:numId w:val="4"/>
        </w:numPr>
        <w:tabs>
          <w:tab w:pos="319" w:val="left" w:leader="none"/>
        </w:tabs>
        <w:spacing w:line="240" w:lineRule="auto" w:before="231" w:after="0"/>
        <w:ind w:left="318" w:right="0" w:hanging="211"/>
        <w:jc w:val="left"/>
        <w:rPr>
          <w:sz w:val="19"/>
        </w:rPr>
      </w:pPr>
      <w:r>
        <w:rPr>
          <w:sz w:val="19"/>
        </w:rPr>
        <w:t>This by-law may be cited as Customs By-law No.</w:t>
      </w:r>
      <w:r>
        <w:rPr>
          <w:spacing w:val="-10"/>
          <w:sz w:val="19"/>
        </w:rPr>
        <w:t> </w:t>
      </w:r>
      <w:r>
        <w:rPr>
          <w:sz w:val="19"/>
        </w:rPr>
        <w:t>0240006.</w:t>
      </w:r>
    </w:p>
    <w:p>
      <w:pPr>
        <w:pStyle w:val="BodyText"/>
        <w:spacing w:before="3"/>
        <w:rPr>
          <w:sz w:val="16"/>
        </w:rPr>
      </w:pPr>
    </w:p>
    <w:p>
      <w:pPr>
        <w:pStyle w:val="ListParagraph"/>
        <w:numPr>
          <w:ilvl w:val="0"/>
          <w:numId w:val="4"/>
        </w:numPr>
        <w:tabs>
          <w:tab w:pos="319" w:val="left" w:leader="none"/>
        </w:tabs>
        <w:spacing w:line="240" w:lineRule="auto" w:before="0" w:after="0"/>
        <w:ind w:left="318" w:right="0" w:hanging="211"/>
        <w:jc w:val="left"/>
        <w:rPr>
          <w:sz w:val="19"/>
        </w:rPr>
      </w:pPr>
      <w:r>
        <w:rPr>
          <w:sz w:val="19"/>
        </w:rPr>
        <w:t>This by-law shall take effect on and from 15 April</w:t>
      </w:r>
      <w:r>
        <w:rPr>
          <w:spacing w:val="-11"/>
          <w:sz w:val="19"/>
        </w:rPr>
        <w:t> </w:t>
      </w:r>
      <w:r>
        <w:rPr>
          <w:sz w:val="19"/>
        </w:rPr>
        <w:t>2002.</w:t>
      </w:r>
    </w:p>
    <w:p>
      <w:pPr>
        <w:pStyle w:val="BodyText"/>
        <w:spacing w:before="5"/>
        <w:rPr>
          <w:sz w:val="16"/>
        </w:rPr>
      </w:pPr>
    </w:p>
    <w:p>
      <w:pPr>
        <w:pStyle w:val="ListParagraph"/>
        <w:numPr>
          <w:ilvl w:val="0"/>
          <w:numId w:val="4"/>
        </w:numPr>
        <w:tabs>
          <w:tab w:pos="319" w:val="left" w:leader="none"/>
        </w:tabs>
        <w:spacing w:line="237" w:lineRule="auto" w:before="0" w:after="0"/>
        <w:ind w:left="108" w:right="419" w:firstLine="0"/>
        <w:jc w:val="left"/>
        <w:rPr>
          <w:sz w:val="19"/>
        </w:rPr>
      </w:pPr>
      <w:r>
        <w:rPr>
          <w:sz w:val="19"/>
        </w:rPr>
        <w:t>Item</w:t>
      </w:r>
      <w:r>
        <w:rPr>
          <w:spacing w:val="-3"/>
          <w:sz w:val="19"/>
        </w:rPr>
        <w:t> </w:t>
      </w:r>
      <w:r>
        <w:rPr>
          <w:sz w:val="19"/>
        </w:rPr>
        <w:t>72B</w:t>
      </w:r>
      <w:r>
        <w:rPr>
          <w:spacing w:val="-2"/>
          <w:sz w:val="19"/>
        </w:rPr>
        <w:t> </w:t>
      </w:r>
      <w:r>
        <w:rPr>
          <w:sz w:val="19"/>
        </w:rPr>
        <w:t>in</w:t>
      </w:r>
      <w:r>
        <w:rPr>
          <w:spacing w:val="-3"/>
          <w:sz w:val="19"/>
        </w:rPr>
        <w:t> </w:t>
      </w:r>
      <w:r>
        <w:rPr>
          <w:sz w:val="19"/>
        </w:rPr>
        <w:t>Part</w:t>
      </w:r>
      <w:r>
        <w:rPr>
          <w:spacing w:val="-2"/>
          <w:sz w:val="19"/>
        </w:rPr>
        <w:t> </w:t>
      </w:r>
      <w:r>
        <w:rPr>
          <w:sz w:val="19"/>
        </w:rPr>
        <w:t>III</w:t>
      </w:r>
      <w:r>
        <w:rPr>
          <w:spacing w:val="-3"/>
          <w:sz w:val="19"/>
        </w:rPr>
        <w:t> </w:t>
      </w:r>
      <w:r>
        <w:rPr>
          <w:sz w:val="19"/>
        </w:rPr>
        <w:t>of</w:t>
      </w:r>
      <w:r>
        <w:rPr>
          <w:spacing w:val="-2"/>
          <w:sz w:val="19"/>
        </w:rPr>
        <w:t> </w:t>
      </w:r>
      <w:r>
        <w:rPr>
          <w:sz w:val="19"/>
        </w:rPr>
        <w:t>Schedule</w:t>
      </w:r>
      <w:r>
        <w:rPr>
          <w:spacing w:val="-2"/>
          <w:sz w:val="19"/>
        </w:rPr>
        <w:t> </w:t>
      </w:r>
      <w:r>
        <w:rPr>
          <w:sz w:val="19"/>
        </w:rPr>
        <w:t>4</w:t>
      </w:r>
      <w:r>
        <w:rPr>
          <w:spacing w:val="-3"/>
          <w:sz w:val="19"/>
        </w:rPr>
        <w:t> </w:t>
      </w:r>
      <w:r>
        <w:rPr>
          <w:sz w:val="19"/>
        </w:rPr>
        <w:t>to</w:t>
      </w:r>
      <w:r>
        <w:rPr>
          <w:spacing w:val="-2"/>
          <w:sz w:val="19"/>
        </w:rPr>
        <w:t> </w:t>
      </w:r>
      <w:r>
        <w:rPr>
          <w:sz w:val="19"/>
        </w:rPr>
        <w:t>the</w:t>
      </w:r>
      <w:r>
        <w:rPr>
          <w:spacing w:val="-3"/>
          <w:sz w:val="19"/>
        </w:rPr>
        <w:t> </w:t>
      </w:r>
      <w:r>
        <w:rPr>
          <w:i/>
          <w:sz w:val="19"/>
        </w:rPr>
        <w:t>Customs</w:t>
      </w:r>
      <w:r>
        <w:rPr>
          <w:i/>
          <w:spacing w:val="-2"/>
          <w:sz w:val="19"/>
        </w:rPr>
        <w:t> </w:t>
      </w:r>
      <w:r>
        <w:rPr>
          <w:i/>
          <w:spacing w:val="-3"/>
          <w:sz w:val="19"/>
        </w:rPr>
        <w:t>Tariff</w:t>
      </w:r>
      <w:r>
        <w:rPr>
          <w:i/>
          <w:spacing w:val="-2"/>
          <w:sz w:val="19"/>
        </w:rPr>
        <w:t> </w:t>
      </w:r>
      <w:r>
        <w:rPr>
          <w:i/>
          <w:sz w:val="19"/>
        </w:rPr>
        <w:t>Act</w:t>
      </w:r>
      <w:r>
        <w:rPr>
          <w:i/>
          <w:spacing w:val="-3"/>
          <w:sz w:val="19"/>
        </w:rPr>
        <w:t> </w:t>
      </w:r>
      <w:r>
        <w:rPr>
          <w:i/>
          <w:sz w:val="19"/>
        </w:rPr>
        <w:t>1995</w:t>
      </w:r>
      <w:r>
        <w:rPr>
          <w:i/>
          <w:spacing w:val="-2"/>
          <w:sz w:val="19"/>
        </w:rPr>
        <w:t> </w:t>
      </w:r>
      <w:r>
        <w:rPr>
          <w:sz w:val="19"/>
        </w:rPr>
        <w:t>applies</w:t>
      </w:r>
      <w:r>
        <w:rPr>
          <w:spacing w:val="-3"/>
          <w:sz w:val="19"/>
        </w:rPr>
        <w:t> </w:t>
      </w:r>
      <w:r>
        <w:rPr>
          <w:sz w:val="19"/>
        </w:rPr>
        <w:t>to</w:t>
      </w:r>
      <w:r>
        <w:rPr>
          <w:spacing w:val="-2"/>
          <w:sz w:val="19"/>
        </w:rPr>
        <w:t> </w:t>
      </w:r>
      <w:r>
        <w:rPr>
          <w:sz w:val="19"/>
        </w:rPr>
        <w:t>polyglycol</w:t>
      </w:r>
      <w:r>
        <w:rPr>
          <w:spacing w:val="-2"/>
          <w:sz w:val="19"/>
        </w:rPr>
        <w:t> </w:t>
      </w:r>
      <w:r>
        <w:rPr>
          <w:sz w:val="19"/>
        </w:rPr>
        <w:t>brake</w:t>
      </w:r>
      <w:r>
        <w:rPr>
          <w:spacing w:val="-3"/>
          <w:sz w:val="19"/>
        </w:rPr>
        <w:t> </w:t>
      </w:r>
      <w:r>
        <w:rPr>
          <w:sz w:val="19"/>
        </w:rPr>
        <w:t>fluids,</w:t>
      </w:r>
      <w:r>
        <w:rPr>
          <w:spacing w:val="-2"/>
          <w:sz w:val="19"/>
        </w:rPr>
        <w:t> </w:t>
      </w:r>
      <w:r>
        <w:rPr>
          <w:sz w:val="19"/>
        </w:rPr>
        <w:t>classified</w:t>
      </w:r>
      <w:r>
        <w:rPr>
          <w:spacing w:val="-3"/>
          <w:sz w:val="19"/>
        </w:rPr>
        <w:t> </w:t>
      </w:r>
      <w:r>
        <w:rPr>
          <w:sz w:val="19"/>
        </w:rPr>
        <w:t>under</w:t>
      </w:r>
      <w:r>
        <w:rPr>
          <w:spacing w:val="-2"/>
          <w:sz w:val="19"/>
        </w:rPr>
        <w:t> </w:t>
      </w:r>
      <w:r>
        <w:rPr>
          <w:sz w:val="19"/>
        </w:rPr>
        <w:t>heading</w:t>
      </w:r>
      <w:r>
        <w:rPr>
          <w:spacing w:val="-2"/>
          <w:sz w:val="19"/>
        </w:rPr>
        <w:t> </w:t>
      </w:r>
      <w:r>
        <w:rPr>
          <w:sz w:val="19"/>
        </w:rPr>
        <w:t>3819.00.00</w:t>
      </w:r>
      <w:r>
        <w:rPr>
          <w:spacing w:val="-3"/>
          <w:sz w:val="19"/>
        </w:rPr>
        <w:t> </w:t>
      </w:r>
      <w:r>
        <w:rPr>
          <w:sz w:val="19"/>
        </w:rPr>
        <w:t>of</w:t>
      </w:r>
      <w:r>
        <w:rPr>
          <w:spacing w:val="-2"/>
          <w:sz w:val="19"/>
        </w:rPr>
        <w:t> </w:t>
      </w:r>
      <w:r>
        <w:rPr>
          <w:sz w:val="19"/>
        </w:rPr>
        <w:t>Schedule</w:t>
      </w:r>
      <w:r>
        <w:rPr>
          <w:spacing w:val="-3"/>
          <w:sz w:val="19"/>
        </w:rPr>
        <w:t> </w:t>
      </w:r>
      <w:r>
        <w:rPr>
          <w:sz w:val="19"/>
        </w:rPr>
        <w:t>3,</w:t>
      </w:r>
      <w:r>
        <w:rPr>
          <w:spacing w:val="-2"/>
          <w:sz w:val="19"/>
        </w:rPr>
        <w:t> </w:t>
      </w:r>
      <w:r>
        <w:rPr>
          <w:sz w:val="19"/>
        </w:rPr>
        <w:t>that</w:t>
      </w:r>
      <w:r>
        <w:rPr>
          <w:spacing w:val="-2"/>
          <w:sz w:val="19"/>
        </w:rPr>
        <w:t> </w:t>
      </w:r>
      <w:r>
        <w:rPr>
          <w:sz w:val="19"/>
        </w:rPr>
        <w:t>meet</w:t>
      </w:r>
      <w:r>
        <w:rPr>
          <w:spacing w:val="-3"/>
          <w:sz w:val="19"/>
        </w:rPr>
        <w:t> </w:t>
      </w:r>
      <w:r>
        <w:rPr>
          <w:sz w:val="19"/>
        </w:rPr>
        <w:t>the</w:t>
      </w:r>
      <w:r>
        <w:rPr>
          <w:spacing w:val="-2"/>
          <w:sz w:val="19"/>
        </w:rPr>
        <w:t> </w:t>
      </w:r>
      <w:r>
        <w:rPr>
          <w:sz w:val="19"/>
        </w:rPr>
        <w:t>requirements</w:t>
      </w:r>
      <w:r>
        <w:rPr>
          <w:spacing w:val="-3"/>
          <w:sz w:val="19"/>
        </w:rPr>
        <w:t> </w:t>
      </w:r>
      <w:r>
        <w:rPr>
          <w:sz w:val="19"/>
        </w:rPr>
        <w:t>of Australian Standard AS/NZ 1960.1-1995: Motor vehicle brake fluids - non-petroleum</w:t>
      </w:r>
      <w:r>
        <w:rPr>
          <w:spacing w:val="-12"/>
          <w:sz w:val="19"/>
        </w:rPr>
        <w:t> </w:t>
      </w:r>
      <w:r>
        <w:rPr>
          <w:sz w:val="19"/>
        </w:rPr>
        <w:t>type.</w:t>
      </w:r>
    </w:p>
    <w:p>
      <w:pPr>
        <w:pStyle w:val="BodyText"/>
        <w:spacing w:before="4"/>
        <w:rPr>
          <w:sz w:val="16"/>
        </w:rPr>
      </w:pPr>
    </w:p>
    <w:p>
      <w:pPr>
        <w:pStyle w:val="ListParagraph"/>
        <w:numPr>
          <w:ilvl w:val="0"/>
          <w:numId w:val="4"/>
        </w:numPr>
        <w:tabs>
          <w:tab w:pos="319" w:val="left" w:leader="none"/>
        </w:tabs>
        <w:spacing w:line="240" w:lineRule="auto" w:before="0" w:after="0"/>
        <w:ind w:left="318" w:right="0" w:hanging="211"/>
        <w:jc w:val="left"/>
        <w:rPr>
          <w:sz w:val="19"/>
        </w:rPr>
      </w:pPr>
      <w:r>
        <w:rPr>
          <w:sz w:val="19"/>
        </w:rPr>
        <w:t>For the purposes of this by-law, the "</w:t>
      </w:r>
      <w:r>
        <w:rPr>
          <w:i/>
          <w:sz w:val="19"/>
        </w:rPr>
        <w:t>Customs </w:t>
      </w:r>
      <w:r>
        <w:rPr>
          <w:i/>
          <w:spacing w:val="-3"/>
          <w:sz w:val="19"/>
        </w:rPr>
        <w:t>Tariff </w:t>
      </w:r>
      <w:r>
        <w:rPr>
          <w:i/>
          <w:sz w:val="19"/>
        </w:rPr>
        <w:t>Act 1995</w:t>
      </w:r>
      <w:r>
        <w:rPr>
          <w:sz w:val="19"/>
        </w:rPr>
        <w:t>" means </w:t>
      </w:r>
      <w:r>
        <w:rPr>
          <w:i/>
          <w:sz w:val="19"/>
        </w:rPr>
        <w:t>the Customs </w:t>
      </w:r>
      <w:r>
        <w:rPr>
          <w:i/>
          <w:spacing w:val="-3"/>
          <w:sz w:val="19"/>
        </w:rPr>
        <w:t>Tariff </w:t>
      </w:r>
      <w:r>
        <w:rPr>
          <w:i/>
          <w:sz w:val="19"/>
        </w:rPr>
        <w:t>Act 1995</w:t>
      </w:r>
      <w:r>
        <w:rPr>
          <w:sz w:val="19"/>
        </w:rPr>
        <w:t>, as amended or proposed to be</w:t>
      </w:r>
      <w:r>
        <w:rPr>
          <w:spacing w:val="-28"/>
          <w:sz w:val="19"/>
        </w:rPr>
        <w:t> </w:t>
      </w:r>
      <w:r>
        <w:rPr>
          <w:sz w:val="19"/>
        </w:rPr>
        <w:t>altered.</w:t>
      </w:r>
    </w:p>
    <w:p>
      <w:pPr>
        <w:pStyle w:val="BodyText"/>
        <w:spacing w:before="3"/>
        <w:rPr>
          <w:sz w:val="16"/>
        </w:rPr>
      </w:pPr>
    </w:p>
    <w:p>
      <w:pPr>
        <w:spacing w:before="0"/>
        <w:ind w:left="6204" w:right="6301" w:firstLine="0"/>
        <w:jc w:val="center"/>
        <w:rPr>
          <w:b/>
          <w:sz w:val="19"/>
        </w:rPr>
      </w:pPr>
      <w:r>
        <w:rPr>
          <w:b/>
          <w:sz w:val="19"/>
        </w:rPr>
        <w:t>Item 50 of Part III of Schedule 4</w:t>
      </w:r>
    </w:p>
    <w:p>
      <w:pPr>
        <w:pStyle w:val="BodyText"/>
        <w:spacing w:before="1"/>
        <w:rPr>
          <w:b/>
          <w:sz w:val="13"/>
        </w:rPr>
      </w:pPr>
      <w:r>
        <w:rPr/>
        <w:pict>
          <v:group style="position:absolute;margin-left:34.411362pt;margin-top:9.522542pt;width:779.6pt;height:80.1pt;mso-position-horizontal-relative:page;mso-position-vertical-relative:paragraph;z-index:-15725568;mso-wrap-distance-left:0;mso-wrap-distance-right:0" coordorigin="688,190" coordsize="15592,1602">
            <v:shape style="position:absolute;left:688;top:190;width:15592;height:1602" coordorigin="688,190" coordsize="15592,1602" path="m16280,190l16280,190,688,190,688,204,2920,204,2920,1792,2934,1792,2934,204,10023,204,10023,1792,10036,1792,10036,204,12931,204,12931,1792,12945,1792,12945,204,16280,204,16280,190xe" filled="true" fillcolor="#c8c8c8" stroked="false">
              <v:path arrowok="t"/>
              <v:fill type="solid"/>
            </v:shape>
            <v:shapetype id="_x0000_t202" o:spt="202" coordsize="21600,21600" path="m,l,21600r21600,l21600,xe">
              <v:stroke joinstyle="miter"/>
              <v:path gradientshapeok="t" o:connecttype="rect"/>
            </v:shapetype>
            <v:shape style="position:absolute;left:782;top:303;width:231;height:212" type="#_x0000_t202" filled="false" stroked="false">
              <v:textbox inset="0,0,0,0">
                <w:txbxContent>
                  <w:p>
                    <w:pPr>
                      <w:spacing w:line="212" w:lineRule="exact" w:before="0"/>
                      <w:ind w:left="0" w:right="0" w:firstLine="0"/>
                      <w:jc w:val="left"/>
                      <w:rPr>
                        <w:sz w:val="19"/>
                      </w:rPr>
                    </w:pPr>
                    <w:r>
                      <w:rPr>
                        <w:color w:val="202020"/>
                        <w:sz w:val="19"/>
                      </w:rPr>
                      <w:t>50</w:t>
                    </w:r>
                  </w:p>
                </w:txbxContent>
              </v:textbox>
              <w10:wrap type="none"/>
            </v:shape>
            <v:shape style="position:absolute;left:3028;top:303;width:6312;height:429" type="#_x0000_t202" filled="false" stroked="false">
              <v:textbox inset="0,0,0,0">
                <w:txbxContent>
                  <w:p>
                    <w:pPr>
                      <w:spacing w:line="237" w:lineRule="auto" w:before="0"/>
                      <w:ind w:left="0" w:right="-10" w:firstLine="0"/>
                      <w:jc w:val="left"/>
                      <w:rPr>
                        <w:sz w:val="19"/>
                      </w:rPr>
                    </w:pPr>
                    <w:r>
                      <w:rPr>
                        <w:color w:val="202020"/>
                        <w:sz w:val="19"/>
                      </w:rPr>
                      <w:t>Goods that a </w:t>
                    </w:r>
                    <w:r>
                      <w:rPr>
                        <w:color w:val="202020"/>
                        <w:spacing w:val="-5"/>
                        <w:sz w:val="19"/>
                      </w:rPr>
                      <w:t>Tariff </w:t>
                    </w:r>
                    <w:r>
                      <w:rPr>
                        <w:color w:val="202020"/>
                        <w:sz w:val="19"/>
                      </w:rPr>
                      <w:t>Concession Order declares are goods to which this item applies:</w:t>
                    </w:r>
                  </w:p>
                </w:txbxContent>
              </v:textbox>
              <w10:wrap type="none"/>
            </v:shape>
            <v:shape style="position:absolute;left:13039;top:303;width:715;height:618" type="#_x0000_t202" filled="false" stroked="false">
              <v:textbox inset="0,0,0,0">
                <w:txbxContent>
                  <w:p>
                    <w:pPr>
                      <w:spacing w:line="212" w:lineRule="exact" w:before="0"/>
                      <w:ind w:left="0" w:right="0" w:firstLine="0"/>
                      <w:jc w:val="left"/>
                      <w:rPr>
                        <w:sz w:val="19"/>
                      </w:rPr>
                    </w:pPr>
                    <w:r>
                      <w:rPr>
                        <w:color w:val="202020"/>
                        <w:sz w:val="19"/>
                      </w:rPr>
                      <w:t>3%</w:t>
                    </w:r>
                  </w:p>
                  <w:p>
                    <w:pPr>
                      <w:spacing w:line="240" w:lineRule="auto" w:before="3"/>
                      <w:rPr>
                        <w:sz w:val="16"/>
                      </w:rPr>
                    </w:pPr>
                  </w:p>
                  <w:p>
                    <w:pPr>
                      <w:spacing w:before="0"/>
                      <w:ind w:left="0" w:right="0" w:firstLine="0"/>
                      <w:jc w:val="left"/>
                      <w:rPr>
                        <w:sz w:val="19"/>
                      </w:rPr>
                    </w:pPr>
                    <w:r>
                      <w:rPr>
                        <w:color w:val="202020"/>
                        <w:sz w:val="19"/>
                      </w:rPr>
                      <w:t>3%, and</w:t>
                    </w:r>
                  </w:p>
                </w:txbxContent>
              </v:textbox>
              <w10:wrap type="none"/>
            </v:shape>
            <v:shape style="position:absolute;left:3028;top:925;width:10979;height:429" type="#_x0000_t202" filled="false" stroked="false">
              <v:textbox inset="0,0,0,0">
                <w:txbxContent>
                  <w:p>
                    <w:pPr>
                      <w:spacing w:line="196" w:lineRule="exact" w:before="0"/>
                      <w:ind w:left="0" w:right="0" w:firstLine="0"/>
                      <w:jc w:val="left"/>
                      <w:rPr>
                        <w:sz w:val="19"/>
                      </w:rPr>
                    </w:pPr>
                    <w:r>
                      <w:rPr>
                        <w:color w:val="202020"/>
                        <w:sz w:val="19"/>
                      </w:rPr>
                      <w:t>(1) Goods classified under heading</w:t>
                    </w:r>
                  </w:p>
                  <w:p>
                    <w:pPr>
                      <w:tabs>
                        <w:tab w:pos="10010" w:val="left" w:leader="none"/>
                      </w:tabs>
                      <w:spacing w:line="232" w:lineRule="exact" w:before="0"/>
                      <w:ind w:left="0" w:right="0" w:firstLine="0"/>
                      <w:jc w:val="left"/>
                      <w:rPr>
                        <w:sz w:val="19"/>
                      </w:rPr>
                    </w:pPr>
                    <w:r>
                      <w:rPr>
                        <w:color w:val="202020"/>
                        <w:sz w:val="19"/>
                      </w:rPr>
                      <w:t>3819.00.00 of</w:t>
                    </w:r>
                    <w:r>
                      <w:rPr>
                        <w:color w:val="202020"/>
                        <w:spacing w:val="-5"/>
                        <w:sz w:val="19"/>
                      </w:rPr>
                      <w:t> </w:t>
                    </w:r>
                    <w:r>
                      <w:rPr>
                        <w:color w:val="202020"/>
                        <w:sz w:val="19"/>
                      </w:rPr>
                      <w:t>Schedule</w:t>
                    </w:r>
                    <w:r>
                      <w:rPr>
                        <w:color w:val="202020"/>
                        <w:spacing w:val="-2"/>
                        <w:sz w:val="19"/>
                      </w:rPr>
                      <w:t> </w:t>
                    </w:r>
                    <w:r>
                      <w:rPr>
                        <w:color w:val="202020"/>
                        <w:sz w:val="19"/>
                      </w:rPr>
                      <w:t>3:</w:t>
                      <w:tab/>
                    </w:r>
                    <w:r>
                      <w:rPr>
                        <w:color w:val="202020"/>
                        <w:position w:val="3"/>
                        <w:sz w:val="19"/>
                      </w:rPr>
                      <w:t>$0.05363/L</w:t>
                    </w:r>
                  </w:p>
                </w:txbxContent>
              </v:textbox>
              <w10:wrap type="none"/>
            </v:shape>
            <v:shape style="position:absolute;left:3028;top:1547;width:3032;height:212" type="#_x0000_t202" filled="false" stroked="false">
              <v:textbox inset="0,0,0,0">
                <w:txbxContent>
                  <w:p>
                    <w:pPr>
                      <w:spacing w:line="212" w:lineRule="exact" w:before="0"/>
                      <w:ind w:left="0" w:right="0" w:firstLine="0"/>
                      <w:jc w:val="left"/>
                      <w:rPr>
                        <w:sz w:val="19"/>
                      </w:rPr>
                    </w:pPr>
                    <w:r>
                      <w:rPr>
                        <w:color w:val="202020"/>
                        <w:sz w:val="19"/>
                      </w:rPr>
                      <w:t>(a) That have been approved by the</w:t>
                    </w:r>
                  </w:p>
                </w:txbxContent>
              </v:textbox>
              <w10:wrap type="none"/>
            </v:shape>
            <v:shape style="position:absolute;left:13039;top:1520;width:1273;height:212" type="#_x0000_t202" filled="false" stroked="false">
              <v:textbox inset="0,0,0,0">
                <w:txbxContent>
                  <w:p>
                    <w:pPr>
                      <w:spacing w:line="212" w:lineRule="exact" w:before="0"/>
                      <w:ind w:left="0" w:right="0" w:firstLine="0"/>
                      <w:jc w:val="left"/>
                      <w:rPr>
                        <w:sz w:val="19"/>
                      </w:rPr>
                    </w:pPr>
                    <w:r>
                      <w:rPr>
                        <w:color w:val="202020"/>
                        <w:sz w:val="19"/>
                      </w:rPr>
                      <w:t>NZ:$0.05363/L</w:t>
                    </w:r>
                  </w:p>
                </w:txbxContent>
              </v:textbox>
              <w10:wrap type="none"/>
            </v:shape>
            <w10:wrap type="topAndBottom"/>
          </v:group>
        </w:pict>
      </w:r>
    </w:p>
    <w:p>
      <w:pPr>
        <w:spacing w:after="0"/>
        <w:rPr>
          <w:sz w:val="13"/>
        </w:rPr>
        <w:sectPr>
          <w:pgSz w:w="16840" w:h="11900" w:orient="landscape"/>
          <w:pgMar w:top="500" w:bottom="280" w:left="580" w:right="440"/>
        </w:sectPr>
      </w:pPr>
    </w:p>
    <w:p>
      <w:pPr>
        <w:pStyle w:val="BodyText"/>
        <w:ind w:left="108"/>
        <w:rPr>
          <w:sz w:val="20"/>
        </w:rPr>
      </w:pPr>
      <w:r>
        <w:rPr>
          <w:sz w:val="20"/>
        </w:rPr>
        <w:pict>
          <v:group style="width:779.6pt;height:117.7pt;mso-position-horizontal-relative:char;mso-position-vertical-relative:line" coordorigin="0,0" coordsize="15592,2354">
            <v:shape style="position:absolute;left:0;top:0;width:15592;height:2354" coordorigin="0,0" coordsize="15592,2354" path="m15592,2340l12257,2340,12257,0,12243,0,12243,2340,9348,2340,9348,0,9335,0,9335,2340,2246,2340,2246,0,2232,0,2232,2340,0,2340,0,2354,15592,2354,15592,2340xe" filled="true" fillcolor="#c8c8c8" stroked="false">
              <v:path arrowok="t"/>
              <v:fill type="solid"/>
            </v:shape>
            <v:shape style="position:absolute;left:2340;top:4;width:2758;height:212" type="#_x0000_t202" filled="false" stroked="false">
              <v:textbox inset="0,0,0,0">
                <w:txbxContent>
                  <w:p>
                    <w:pPr>
                      <w:spacing w:line="212" w:lineRule="exact" w:before="0"/>
                      <w:ind w:left="0" w:right="0" w:firstLine="0"/>
                      <w:jc w:val="left"/>
                      <w:rPr>
                        <w:sz w:val="19"/>
                      </w:rPr>
                    </w:pPr>
                    <w:r>
                      <w:rPr>
                        <w:color w:val="202020"/>
                        <w:sz w:val="19"/>
                      </w:rPr>
                      <w:t>Minister for the Environment and</w:t>
                    </w:r>
                  </w:p>
                </w:txbxContent>
              </v:textbox>
              <w10:wrap type="none"/>
            </v:shape>
            <v:shape style="position:absolute;left:12351;top:4;width:1431;height:212" type="#_x0000_t202" filled="false" stroked="false">
              <v:textbox inset="0,0,0,0">
                <w:txbxContent>
                  <w:p>
                    <w:pPr>
                      <w:spacing w:line="212" w:lineRule="exact" w:before="0"/>
                      <w:ind w:left="0" w:right="0" w:firstLine="0"/>
                      <w:jc w:val="left"/>
                      <w:rPr>
                        <w:sz w:val="19"/>
                      </w:rPr>
                    </w:pPr>
                    <w:r>
                      <w:rPr>
                        <w:color w:val="202020"/>
                        <w:sz w:val="19"/>
                      </w:rPr>
                      <w:t>PNG:$0.05363/L</w:t>
                    </w:r>
                  </w:p>
                </w:txbxContent>
              </v:textbox>
              <w10:wrap type="none"/>
            </v:shape>
            <v:shape style="position:absolute;left:2340;top:410;width:2926;height:212" type="#_x0000_t202" filled="false" stroked="false">
              <v:textbox inset="0,0,0,0">
                <w:txbxContent>
                  <w:p>
                    <w:pPr>
                      <w:spacing w:line="212" w:lineRule="exact" w:before="0"/>
                      <w:ind w:left="0" w:right="0" w:firstLine="0"/>
                      <w:jc w:val="left"/>
                      <w:rPr>
                        <w:sz w:val="19"/>
                      </w:rPr>
                    </w:pPr>
                    <w:r>
                      <w:rPr>
                        <w:color w:val="202020"/>
                        <w:sz w:val="19"/>
                      </w:rPr>
                      <w:t>Heritage as being exempt from the</w:t>
                    </w:r>
                  </w:p>
                </w:txbxContent>
              </v:textbox>
              <w10:wrap type="none"/>
            </v:shape>
            <v:shape style="position:absolute;left:12351;top:410;width:1189;height:212" type="#_x0000_t202" filled="false" stroked="false">
              <v:textbox inset="0,0,0,0">
                <w:txbxContent>
                  <w:p>
                    <w:pPr>
                      <w:spacing w:line="212" w:lineRule="exact" w:before="0"/>
                      <w:ind w:left="0" w:right="0" w:firstLine="0"/>
                      <w:jc w:val="left"/>
                      <w:rPr>
                        <w:sz w:val="19"/>
                      </w:rPr>
                    </w:pPr>
                    <w:r>
                      <w:rPr>
                        <w:color w:val="202020"/>
                        <w:sz w:val="19"/>
                      </w:rPr>
                      <w:t>FI:$0.05363/L</w:t>
                    </w:r>
                  </w:p>
                </w:txbxContent>
              </v:textbox>
              <w10:wrap type="none"/>
            </v:shape>
            <v:shape style="position:absolute;left:2340;top:816;width:2796;height:212" type="#_x0000_t202" filled="false" stroked="false">
              <v:textbox inset="0,0,0,0">
                <w:txbxContent>
                  <w:p>
                    <w:pPr>
                      <w:spacing w:line="212" w:lineRule="exact" w:before="0"/>
                      <w:ind w:left="0" w:right="0" w:firstLine="0"/>
                      <w:jc w:val="left"/>
                      <w:rPr>
                        <w:sz w:val="19"/>
                      </w:rPr>
                    </w:pPr>
                    <w:r>
                      <w:rPr>
                        <w:color w:val="202020"/>
                        <w:sz w:val="19"/>
                      </w:rPr>
                      <w:t>Product Stewardship Oil </w:t>
                    </w:r>
                    <w:r>
                      <w:rPr>
                        <w:color w:val="202020"/>
                        <w:spacing w:val="-3"/>
                        <w:sz w:val="19"/>
                      </w:rPr>
                      <w:t>Levy, </w:t>
                    </w:r>
                    <w:r>
                      <w:rPr>
                        <w:color w:val="202020"/>
                        <w:sz w:val="19"/>
                      </w:rPr>
                      <w:t>as</w:t>
                    </w:r>
                  </w:p>
                </w:txbxContent>
              </v:textbox>
              <w10:wrap type="none"/>
            </v:shape>
            <v:shape style="position:absolute;left:12351;top:816;width:1295;height:212" type="#_x0000_t202" filled="false" stroked="false">
              <v:textbox inset="0,0,0,0">
                <w:txbxContent>
                  <w:p>
                    <w:pPr>
                      <w:spacing w:line="212" w:lineRule="exact" w:before="0"/>
                      <w:ind w:left="0" w:right="0" w:firstLine="0"/>
                      <w:jc w:val="left"/>
                      <w:rPr>
                        <w:sz w:val="19"/>
                      </w:rPr>
                    </w:pPr>
                    <w:r>
                      <w:rPr>
                        <w:color w:val="202020"/>
                        <w:sz w:val="19"/>
                      </w:rPr>
                      <w:t>DC:$0.05363/L</w:t>
                    </w:r>
                  </w:p>
                </w:txbxContent>
              </v:textbox>
              <w10:wrap type="none"/>
            </v:shape>
            <v:shape style="position:absolute;left:2340;top:1221;width:1757;height:212" type="#_x0000_t202" filled="false" stroked="false">
              <v:textbox inset="0,0,0,0">
                <w:txbxContent>
                  <w:p>
                    <w:pPr>
                      <w:spacing w:line="212" w:lineRule="exact" w:before="0"/>
                      <w:ind w:left="0" w:right="0" w:firstLine="0"/>
                      <w:jc w:val="left"/>
                      <w:rPr>
                        <w:sz w:val="19"/>
                      </w:rPr>
                    </w:pPr>
                    <w:r>
                      <w:rPr>
                        <w:color w:val="202020"/>
                        <w:sz w:val="19"/>
                      </w:rPr>
                      <w:t>prescribed by by-law</w:t>
                    </w:r>
                  </w:p>
                </w:txbxContent>
              </v:textbox>
              <w10:wrap type="none"/>
            </v:shape>
            <v:shape style="position:absolute;left:12351;top:1221;width:294;height:212" type="#_x0000_t202" filled="false" stroked="false">
              <v:textbox inset="0,0,0,0">
                <w:txbxContent>
                  <w:p>
                    <w:pPr>
                      <w:spacing w:line="212" w:lineRule="exact" w:before="0"/>
                      <w:ind w:left="0" w:right="0" w:firstLine="0"/>
                      <w:jc w:val="left"/>
                      <w:rPr>
                        <w:sz w:val="19"/>
                      </w:rPr>
                    </w:pPr>
                    <w:r>
                      <w:rPr>
                        <w:color w:val="202020"/>
                        <w:sz w:val="19"/>
                      </w:rPr>
                      <w:t>3%</w:t>
                    </w:r>
                  </w:p>
                </w:txbxContent>
              </v:textbox>
              <w10:wrap type="none"/>
            </v:shape>
            <v:shape style="position:absolute;left:2340;top:1627;width:778;height:212" type="#_x0000_t202" filled="false" stroked="false">
              <v:textbox inset="0,0,0,0">
                <w:txbxContent>
                  <w:p>
                    <w:pPr>
                      <w:spacing w:line="212" w:lineRule="exact" w:before="0"/>
                      <w:ind w:left="0" w:right="0" w:firstLine="0"/>
                      <w:jc w:val="left"/>
                      <w:rPr>
                        <w:sz w:val="19"/>
                      </w:rPr>
                    </w:pPr>
                    <w:r>
                      <w:rPr>
                        <w:color w:val="202020"/>
                        <w:sz w:val="19"/>
                      </w:rPr>
                      <w:t>(b) Other</w:t>
                    </w:r>
                  </w:p>
                </w:txbxContent>
              </v:textbox>
              <w10:wrap type="none"/>
            </v:shape>
            <v:shape style="position:absolute;left:12351;top:1627;width:620;height:212" type="#_x0000_t202" filled="false" stroked="false">
              <v:textbox inset="0,0,0,0">
                <w:txbxContent>
                  <w:p>
                    <w:pPr>
                      <w:spacing w:line="212" w:lineRule="exact" w:before="0"/>
                      <w:ind w:left="0" w:right="0" w:firstLine="0"/>
                      <w:jc w:val="left"/>
                      <w:rPr>
                        <w:sz w:val="19"/>
                      </w:rPr>
                    </w:pPr>
                    <w:r>
                      <w:rPr>
                        <w:color w:val="202020"/>
                        <w:sz w:val="19"/>
                      </w:rPr>
                      <w:t>DC:3%</w:t>
                    </w:r>
                  </w:p>
                </w:txbxContent>
              </v:textbox>
              <w10:wrap type="none"/>
            </v:shape>
            <v:shape style="position:absolute;left:2340;top:2033;width:778;height:212" type="#_x0000_t202" filled="false" stroked="false">
              <v:textbox inset="0,0,0,0">
                <w:txbxContent>
                  <w:p>
                    <w:pPr>
                      <w:spacing w:line="212" w:lineRule="exact" w:before="0"/>
                      <w:ind w:left="0" w:right="0" w:firstLine="0"/>
                      <w:jc w:val="left"/>
                      <w:rPr>
                        <w:sz w:val="19"/>
                      </w:rPr>
                    </w:pPr>
                    <w:r>
                      <w:rPr>
                        <w:color w:val="202020"/>
                        <w:sz w:val="19"/>
                      </w:rPr>
                      <w:t>(2) Other</w:t>
                    </w:r>
                  </w:p>
                </w:txbxContent>
              </v:textbox>
              <w10:wrap type="none"/>
            </v:shape>
          </v:group>
        </w:pict>
      </w:r>
      <w:r>
        <w:rPr>
          <w:sz w:val="20"/>
        </w:rPr>
      </w:r>
    </w:p>
    <w:sectPr>
      <w:pgSz w:w="16840" w:h="11900" w:orient="landscape"/>
      <w:pgMar w:top="5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318" w:hanging="211"/>
        <w:jc w:val="left"/>
      </w:pPr>
      <w:rPr>
        <w:rFonts w:hint="default" w:ascii="Arial" w:hAnsi="Arial" w:eastAsia="Arial" w:cs="Arial"/>
        <w:w w:val="99"/>
        <w:sz w:val="19"/>
        <w:szCs w:val="19"/>
      </w:rPr>
    </w:lvl>
    <w:lvl w:ilvl="1">
      <w:start w:val="0"/>
      <w:numFmt w:val="bullet"/>
      <w:lvlText w:val="•"/>
      <w:lvlJc w:val="left"/>
      <w:pPr>
        <w:ind w:left="1870" w:hanging="211"/>
      </w:pPr>
      <w:rPr>
        <w:rFonts w:hint="default"/>
      </w:rPr>
    </w:lvl>
    <w:lvl w:ilvl="2">
      <w:start w:val="0"/>
      <w:numFmt w:val="bullet"/>
      <w:lvlText w:val="•"/>
      <w:lvlJc w:val="left"/>
      <w:pPr>
        <w:ind w:left="3420" w:hanging="211"/>
      </w:pPr>
      <w:rPr>
        <w:rFonts w:hint="default"/>
      </w:rPr>
    </w:lvl>
    <w:lvl w:ilvl="3">
      <w:start w:val="0"/>
      <w:numFmt w:val="bullet"/>
      <w:lvlText w:val="•"/>
      <w:lvlJc w:val="left"/>
      <w:pPr>
        <w:ind w:left="4970" w:hanging="211"/>
      </w:pPr>
      <w:rPr>
        <w:rFonts w:hint="default"/>
      </w:rPr>
    </w:lvl>
    <w:lvl w:ilvl="4">
      <w:start w:val="0"/>
      <w:numFmt w:val="bullet"/>
      <w:lvlText w:val="•"/>
      <w:lvlJc w:val="left"/>
      <w:pPr>
        <w:ind w:left="6520" w:hanging="211"/>
      </w:pPr>
      <w:rPr>
        <w:rFonts w:hint="default"/>
      </w:rPr>
    </w:lvl>
    <w:lvl w:ilvl="5">
      <w:start w:val="0"/>
      <w:numFmt w:val="bullet"/>
      <w:lvlText w:val="•"/>
      <w:lvlJc w:val="left"/>
      <w:pPr>
        <w:ind w:left="8070" w:hanging="211"/>
      </w:pPr>
      <w:rPr>
        <w:rFonts w:hint="default"/>
      </w:rPr>
    </w:lvl>
    <w:lvl w:ilvl="6">
      <w:start w:val="0"/>
      <w:numFmt w:val="bullet"/>
      <w:lvlText w:val="•"/>
      <w:lvlJc w:val="left"/>
      <w:pPr>
        <w:ind w:left="9620" w:hanging="211"/>
      </w:pPr>
      <w:rPr>
        <w:rFonts w:hint="default"/>
      </w:rPr>
    </w:lvl>
    <w:lvl w:ilvl="7">
      <w:start w:val="0"/>
      <w:numFmt w:val="bullet"/>
      <w:lvlText w:val="•"/>
      <w:lvlJc w:val="left"/>
      <w:pPr>
        <w:ind w:left="11170" w:hanging="211"/>
      </w:pPr>
      <w:rPr>
        <w:rFonts w:hint="default"/>
      </w:rPr>
    </w:lvl>
    <w:lvl w:ilvl="8">
      <w:start w:val="0"/>
      <w:numFmt w:val="bullet"/>
      <w:lvlText w:val="•"/>
      <w:lvlJc w:val="left"/>
      <w:pPr>
        <w:ind w:left="12720" w:hanging="211"/>
      </w:pPr>
      <w:rPr>
        <w:rFonts w:hint="default"/>
      </w:rPr>
    </w:lvl>
  </w:abstractNum>
  <w:abstractNum w:abstractNumId="2">
    <w:multiLevelType w:val="hybridMultilevel"/>
    <w:lvl w:ilvl="0">
      <w:start w:val="1"/>
      <w:numFmt w:val="decimal"/>
      <w:lvlText w:val="%1."/>
      <w:lvlJc w:val="left"/>
      <w:pPr>
        <w:ind w:left="318" w:hanging="211"/>
        <w:jc w:val="left"/>
      </w:pPr>
      <w:rPr>
        <w:rFonts w:hint="default" w:ascii="Arial" w:hAnsi="Arial" w:eastAsia="Arial" w:cs="Arial"/>
        <w:w w:val="99"/>
        <w:sz w:val="19"/>
        <w:szCs w:val="19"/>
      </w:rPr>
    </w:lvl>
    <w:lvl w:ilvl="1">
      <w:start w:val="0"/>
      <w:numFmt w:val="bullet"/>
      <w:lvlText w:val="•"/>
      <w:lvlJc w:val="left"/>
      <w:pPr>
        <w:ind w:left="1870" w:hanging="211"/>
      </w:pPr>
      <w:rPr>
        <w:rFonts w:hint="default"/>
      </w:rPr>
    </w:lvl>
    <w:lvl w:ilvl="2">
      <w:start w:val="0"/>
      <w:numFmt w:val="bullet"/>
      <w:lvlText w:val="•"/>
      <w:lvlJc w:val="left"/>
      <w:pPr>
        <w:ind w:left="3420" w:hanging="211"/>
      </w:pPr>
      <w:rPr>
        <w:rFonts w:hint="default"/>
      </w:rPr>
    </w:lvl>
    <w:lvl w:ilvl="3">
      <w:start w:val="0"/>
      <w:numFmt w:val="bullet"/>
      <w:lvlText w:val="•"/>
      <w:lvlJc w:val="left"/>
      <w:pPr>
        <w:ind w:left="4970" w:hanging="211"/>
      </w:pPr>
      <w:rPr>
        <w:rFonts w:hint="default"/>
      </w:rPr>
    </w:lvl>
    <w:lvl w:ilvl="4">
      <w:start w:val="0"/>
      <w:numFmt w:val="bullet"/>
      <w:lvlText w:val="•"/>
      <w:lvlJc w:val="left"/>
      <w:pPr>
        <w:ind w:left="6520" w:hanging="211"/>
      </w:pPr>
      <w:rPr>
        <w:rFonts w:hint="default"/>
      </w:rPr>
    </w:lvl>
    <w:lvl w:ilvl="5">
      <w:start w:val="0"/>
      <w:numFmt w:val="bullet"/>
      <w:lvlText w:val="•"/>
      <w:lvlJc w:val="left"/>
      <w:pPr>
        <w:ind w:left="8070" w:hanging="211"/>
      </w:pPr>
      <w:rPr>
        <w:rFonts w:hint="default"/>
      </w:rPr>
    </w:lvl>
    <w:lvl w:ilvl="6">
      <w:start w:val="0"/>
      <w:numFmt w:val="bullet"/>
      <w:lvlText w:val="•"/>
      <w:lvlJc w:val="left"/>
      <w:pPr>
        <w:ind w:left="9620" w:hanging="211"/>
      </w:pPr>
      <w:rPr>
        <w:rFonts w:hint="default"/>
      </w:rPr>
    </w:lvl>
    <w:lvl w:ilvl="7">
      <w:start w:val="0"/>
      <w:numFmt w:val="bullet"/>
      <w:lvlText w:val="•"/>
      <w:lvlJc w:val="left"/>
      <w:pPr>
        <w:ind w:left="11170" w:hanging="211"/>
      </w:pPr>
      <w:rPr>
        <w:rFonts w:hint="default"/>
      </w:rPr>
    </w:lvl>
    <w:lvl w:ilvl="8">
      <w:start w:val="0"/>
      <w:numFmt w:val="bullet"/>
      <w:lvlText w:val="•"/>
      <w:lvlJc w:val="left"/>
      <w:pPr>
        <w:ind w:left="12720" w:hanging="211"/>
      </w:pPr>
      <w:rPr>
        <w:rFonts w:hint="default"/>
      </w:rPr>
    </w:lvl>
  </w:abstractNum>
  <w:abstractNum w:abstractNumId="1">
    <w:multiLevelType w:val="hybridMultilevel"/>
    <w:lvl w:ilvl="0">
      <w:start w:val="1"/>
      <w:numFmt w:val="lowerLetter"/>
      <w:lvlText w:val="(%1)"/>
      <w:lvlJc w:val="left"/>
      <w:pPr>
        <w:ind w:left="392" w:hanging="285"/>
        <w:jc w:val="left"/>
      </w:pPr>
      <w:rPr>
        <w:rFonts w:hint="default" w:ascii="Arial" w:hAnsi="Arial" w:eastAsia="Arial" w:cs="Arial"/>
        <w:w w:val="99"/>
        <w:sz w:val="19"/>
        <w:szCs w:val="19"/>
      </w:rPr>
    </w:lvl>
    <w:lvl w:ilvl="1">
      <w:start w:val="0"/>
      <w:numFmt w:val="bullet"/>
      <w:lvlText w:val="•"/>
      <w:lvlJc w:val="left"/>
      <w:pPr>
        <w:ind w:left="1942" w:hanging="285"/>
      </w:pPr>
      <w:rPr>
        <w:rFonts w:hint="default"/>
      </w:rPr>
    </w:lvl>
    <w:lvl w:ilvl="2">
      <w:start w:val="0"/>
      <w:numFmt w:val="bullet"/>
      <w:lvlText w:val="•"/>
      <w:lvlJc w:val="left"/>
      <w:pPr>
        <w:ind w:left="3484" w:hanging="285"/>
      </w:pPr>
      <w:rPr>
        <w:rFonts w:hint="default"/>
      </w:rPr>
    </w:lvl>
    <w:lvl w:ilvl="3">
      <w:start w:val="0"/>
      <w:numFmt w:val="bullet"/>
      <w:lvlText w:val="•"/>
      <w:lvlJc w:val="left"/>
      <w:pPr>
        <w:ind w:left="5026" w:hanging="285"/>
      </w:pPr>
      <w:rPr>
        <w:rFonts w:hint="default"/>
      </w:rPr>
    </w:lvl>
    <w:lvl w:ilvl="4">
      <w:start w:val="0"/>
      <w:numFmt w:val="bullet"/>
      <w:lvlText w:val="•"/>
      <w:lvlJc w:val="left"/>
      <w:pPr>
        <w:ind w:left="6568" w:hanging="285"/>
      </w:pPr>
      <w:rPr>
        <w:rFonts w:hint="default"/>
      </w:rPr>
    </w:lvl>
    <w:lvl w:ilvl="5">
      <w:start w:val="0"/>
      <w:numFmt w:val="bullet"/>
      <w:lvlText w:val="•"/>
      <w:lvlJc w:val="left"/>
      <w:pPr>
        <w:ind w:left="8110" w:hanging="285"/>
      </w:pPr>
      <w:rPr>
        <w:rFonts w:hint="default"/>
      </w:rPr>
    </w:lvl>
    <w:lvl w:ilvl="6">
      <w:start w:val="0"/>
      <w:numFmt w:val="bullet"/>
      <w:lvlText w:val="•"/>
      <w:lvlJc w:val="left"/>
      <w:pPr>
        <w:ind w:left="9652" w:hanging="285"/>
      </w:pPr>
      <w:rPr>
        <w:rFonts w:hint="default"/>
      </w:rPr>
    </w:lvl>
    <w:lvl w:ilvl="7">
      <w:start w:val="0"/>
      <w:numFmt w:val="bullet"/>
      <w:lvlText w:val="•"/>
      <w:lvlJc w:val="left"/>
      <w:pPr>
        <w:ind w:left="11194" w:hanging="285"/>
      </w:pPr>
      <w:rPr>
        <w:rFonts w:hint="default"/>
      </w:rPr>
    </w:lvl>
    <w:lvl w:ilvl="8">
      <w:start w:val="0"/>
      <w:numFmt w:val="bullet"/>
      <w:lvlText w:val="•"/>
      <w:lvlJc w:val="left"/>
      <w:pPr>
        <w:ind w:left="12736" w:hanging="285"/>
      </w:pPr>
      <w:rPr>
        <w:rFonts w:hint="default"/>
      </w:rPr>
    </w:lvl>
  </w:abstractNum>
  <w:abstractNum w:abstractNumId="0">
    <w:multiLevelType w:val="hybridMultilevel"/>
    <w:lvl w:ilvl="0">
      <w:start w:val="1"/>
      <w:numFmt w:val="decimal"/>
      <w:lvlText w:val="%1."/>
      <w:lvlJc w:val="left"/>
      <w:pPr>
        <w:ind w:left="318" w:hanging="211"/>
        <w:jc w:val="left"/>
      </w:pPr>
      <w:rPr>
        <w:rFonts w:hint="default" w:ascii="Arial" w:hAnsi="Arial" w:eastAsia="Arial" w:cs="Arial"/>
        <w:w w:val="99"/>
        <w:sz w:val="19"/>
        <w:szCs w:val="19"/>
      </w:rPr>
    </w:lvl>
    <w:lvl w:ilvl="1">
      <w:start w:val="0"/>
      <w:numFmt w:val="bullet"/>
      <w:lvlText w:val="•"/>
      <w:lvlJc w:val="left"/>
      <w:pPr>
        <w:ind w:left="1870" w:hanging="211"/>
      </w:pPr>
      <w:rPr>
        <w:rFonts w:hint="default"/>
      </w:rPr>
    </w:lvl>
    <w:lvl w:ilvl="2">
      <w:start w:val="0"/>
      <w:numFmt w:val="bullet"/>
      <w:lvlText w:val="•"/>
      <w:lvlJc w:val="left"/>
      <w:pPr>
        <w:ind w:left="3420" w:hanging="211"/>
      </w:pPr>
      <w:rPr>
        <w:rFonts w:hint="default"/>
      </w:rPr>
    </w:lvl>
    <w:lvl w:ilvl="3">
      <w:start w:val="0"/>
      <w:numFmt w:val="bullet"/>
      <w:lvlText w:val="•"/>
      <w:lvlJc w:val="left"/>
      <w:pPr>
        <w:ind w:left="4970" w:hanging="211"/>
      </w:pPr>
      <w:rPr>
        <w:rFonts w:hint="default"/>
      </w:rPr>
    </w:lvl>
    <w:lvl w:ilvl="4">
      <w:start w:val="0"/>
      <w:numFmt w:val="bullet"/>
      <w:lvlText w:val="•"/>
      <w:lvlJc w:val="left"/>
      <w:pPr>
        <w:ind w:left="6520" w:hanging="211"/>
      </w:pPr>
      <w:rPr>
        <w:rFonts w:hint="default"/>
      </w:rPr>
    </w:lvl>
    <w:lvl w:ilvl="5">
      <w:start w:val="0"/>
      <w:numFmt w:val="bullet"/>
      <w:lvlText w:val="•"/>
      <w:lvlJc w:val="left"/>
      <w:pPr>
        <w:ind w:left="8070" w:hanging="211"/>
      </w:pPr>
      <w:rPr>
        <w:rFonts w:hint="default"/>
      </w:rPr>
    </w:lvl>
    <w:lvl w:ilvl="6">
      <w:start w:val="0"/>
      <w:numFmt w:val="bullet"/>
      <w:lvlText w:val="•"/>
      <w:lvlJc w:val="left"/>
      <w:pPr>
        <w:ind w:left="9620" w:hanging="211"/>
      </w:pPr>
      <w:rPr>
        <w:rFonts w:hint="default"/>
      </w:rPr>
    </w:lvl>
    <w:lvl w:ilvl="7">
      <w:start w:val="0"/>
      <w:numFmt w:val="bullet"/>
      <w:lvlText w:val="•"/>
      <w:lvlJc w:val="left"/>
      <w:pPr>
        <w:ind w:left="11170" w:hanging="211"/>
      </w:pPr>
      <w:rPr>
        <w:rFonts w:hint="default"/>
      </w:rPr>
    </w:lvl>
    <w:lvl w:ilvl="8">
      <w:start w:val="0"/>
      <w:numFmt w:val="bullet"/>
      <w:lvlText w:val="•"/>
      <w:lvlJc w:val="left"/>
      <w:pPr>
        <w:ind w:left="12720" w:hanging="211"/>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spacing w:before="146"/>
      <w:ind w:left="108"/>
      <w:outlineLvl w:val="1"/>
    </w:pPr>
    <w:rPr>
      <w:rFonts w:ascii="Arial" w:hAnsi="Arial" w:eastAsia="Arial" w:cs="Arial"/>
      <w:b/>
      <w:bCs/>
      <w:sz w:val="32"/>
      <w:szCs w:val="32"/>
    </w:rPr>
  </w:style>
  <w:style w:styleId="Heading2" w:type="paragraph">
    <w:name w:val="Heading 2"/>
    <w:basedOn w:val="Normal"/>
    <w:uiPriority w:val="1"/>
    <w:qFormat/>
    <w:pPr>
      <w:ind w:left="6204" w:right="6301"/>
      <w:jc w:val="center"/>
      <w:outlineLvl w:val="2"/>
    </w:pPr>
    <w:rPr>
      <w:rFonts w:ascii="Arial" w:hAnsi="Arial" w:eastAsia="Arial" w:cs="Arial"/>
      <w:b/>
      <w:bCs/>
      <w:sz w:val="24"/>
      <w:szCs w:val="24"/>
    </w:rPr>
  </w:style>
  <w:style w:styleId="Heading3" w:type="paragraph">
    <w:name w:val="Heading 3"/>
    <w:basedOn w:val="Normal"/>
    <w:uiPriority w:val="1"/>
    <w:qFormat/>
    <w:pPr>
      <w:ind w:left="567"/>
      <w:outlineLvl w:val="3"/>
    </w:pPr>
    <w:rPr>
      <w:rFonts w:ascii="Georgia" w:hAnsi="Georgia" w:eastAsia="Georgia" w:cs="Georgia"/>
      <w:i/>
      <w:sz w:val="22"/>
      <w:szCs w:val="22"/>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ind w:left="318" w:hanging="211"/>
    </w:pPr>
    <w:rPr>
      <w:rFonts w:ascii="Arial" w:hAnsi="Arial" w:eastAsia="Arial" w:cs="Arial"/>
    </w:rPr>
  </w:style>
  <w:style w:styleId="TableParagraph" w:type="paragraph">
    <w:name w:val="Table Paragraph"/>
    <w:basedOn w:val="Normal"/>
    <w:uiPriority w:val="1"/>
    <w:qFormat/>
    <w:pPr>
      <w:spacing w:before="91"/>
      <w:ind w:left="1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2020-12-09T22:54:45Z</dcterms:created>
  <dcterms:modified xsi:type="dcterms:W3CDTF">2020-12-09T22:54:45Z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