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20</w:t>
      </w:r>
    </w:p>
    <w:p>
      <w:pPr>
        <w:spacing w:before="390"/>
        <w:ind w:left="100" w:right="0" w:firstLine="0"/>
        <w:jc w:val="left"/>
        <w:rPr>
          <w:b/>
          <w:sz w:val="36"/>
        </w:rPr>
      </w:pPr>
      <w:r>
        <w:rPr>
          <w:b/>
          <w:color w:val="202020"/>
          <w:sz w:val="36"/>
        </w:rPr>
        <w:t>Enhanced Project By Law Scheme (item 71) - guidelines</w:t>
      </w:r>
    </w:p>
    <w:p>
      <w:pPr>
        <w:pStyle w:val="BodyText"/>
        <w:spacing w:before="282"/>
        <w:ind w:right="299"/>
      </w:pPr>
      <w:r>
        <w:rPr/>
        <w:t>The Enhanced Project By-Law Scheme (EPBS) (Item 71) replaces the existing Project By-Laws Scheme (Items 45, 46 and 56) and comes into effect on 1 July 2002.</w:t>
      </w:r>
    </w:p>
    <w:p>
      <w:pPr>
        <w:pStyle w:val="BodyText"/>
        <w:ind w:left="0"/>
        <w:rPr>
          <w:sz w:val="18"/>
        </w:rPr>
      </w:pPr>
    </w:p>
    <w:p>
      <w:pPr>
        <w:pStyle w:val="BodyText"/>
        <w:spacing w:line="446" w:lineRule="auto"/>
        <w:ind w:right="1897"/>
      </w:pPr>
      <w:r>
        <w:rPr/>
        <w:t>Item 71 of Schedule 4 to the </w:t>
      </w:r>
      <w:r>
        <w:rPr>
          <w:i/>
        </w:rPr>
        <w:t>Customs Tariff Act 1995 </w:t>
      </w:r>
      <w:r>
        <w:rPr/>
        <w:t>underpins the EPBS and covers: "Goods, including machinery, equipment, or their components, as prescribed by by-law:</w:t>
      </w:r>
    </w:p>
    <w:p>
      <w:pPr>
        <w:pStyle w:val="ListParagraph"/>
        <w:numPr>
          <w:ilvl w:val="0"/>
          <w:numId w:val="1"/>
        </w:numPr>
        <w:tabs>
          <w:tab w:pos="394" w:val="left" w:leader="none"/>
        </w:tabs>
        <w:spacing w:line="241" w:lineRule="exact" w:before="2" w:after="0"/>
        <w:ind w:left="393" w:right="0" w:hanging="234"/>
        <w:jc w:val="left"/>
        <w:rPr>
          <w:sz w:val="21"/>
        </w:rPr>
      </w:pPr>
      <w:r>
        <w:rPr>
          <w:sz w:val="21"/>
        </w:rPr>
        <w:t>entered for home consumption on or after 1 July 2002; and</w:t>
      </w:r>
    </w:p>
    <w:p>
      <w:pPr>
        <w:pStyle w:val="ListParagraph"/>
        <w:numPr>
          <w:ilvl w:val="0"/>
          <w:numId w:val="1"/>
        </w:numPr>
        <w:tabs>
          <w:tab w:pos="394" w:val="left" w:leader="none"/>
        </w:tabs>
        <w:spacing w:line="241" w:lineRule="exact" w:before="0" w:after="0"/>
        <w:ind w:left="393" w:right="0" w:hanging="234"/>
        <w:jc w:val="left"/>
        <w:rPr>
          <w:sz w:val="21"/>
        </w:rPr>
      </w:pPr>
      <w:r>
        <w:rPr>
          <w:sz w:val="21"/>
        </w:rPr>
        <w:t>for use in any of the following industries:</w:t>
      </w:r>
    </w:p>
    <w:p>
      <w:pPr>
        <w:pStyle w:val="BodyText"/>
        <w:spacing w:before="1"/>
        <w:ind w:left="0"/>
        <w:rPr>
          <w:sz w:val="18"/>
        </w:rPr>
      </w:pPr>
    </w:p>
    <w:p>
      <w:pPr>
        <w:pStyle w:val="ListParagraph"/>
        <w:numPr>
          <w:ilvl w:val="1"/>
          <w:numId w:val="1"/>
        </w:numPr>
        <w:tabs>
          <w:tab w:pos="898" w:val="left" w:leader="none"/>
        </w:tabs>
        <w:spacing w:line="241" w:lineRule="exact" w:before="0" w:after="0"/>
        <w:ind w:left="897" w:right="0" w:hanging="228"/>
        <w:jc w:val="left"/>
        <w:rPr>
          <w:sz w:val="21"/>
        </w:rPr>
      </w:pPr>
      <w:r>
        <w:rPr>
          <w:sz w:val="21"/>
        </w:rPr>
        <w:t>mining;</w:t>
      </w:r>
    </w:p>
    <w:p>
      <w:pPr>
        <w:pStyle w:val="ListParagraph"/>
        <w:numPr>
          <w:ilvl w:val="1"/>
          <w:numId w:val="1"/>
        </w:numPr>
        <w:tabs>
          <w:tab w:pos="898" w:val="left" w:leader="none"/>
        </w:tabs>
        <w:spacing w:line="240" w:lineRule="exact" w:before="0" w:after="0"/>
        <w:ind w:left="897" w:right="0" w:hanging="228"/>
        <w:jc w:val="left"/>
        <w:rPr>
          <w:sz w:val="21"/>
        </w:rPr>
      </w:pPr>
      <w:r>
        <w:rPr>
          <w:sz w:val="21"/>
        </w:rPr>
        <w:t>resource processing;</w:t>
      </w:r>
    </w:p>
    <w:p>
      <w:pPr>
        <w:pStyle w:val="ListParagraph"/>
        <w:numPr>
          <w:ilvl w:val="1"/>
          <w:numId w:val="1"/>
        </w:numPr>
        <w:tabs>
          <w:tab w:pos="898" w:val="left" w:leader="none"/>
        </w:tabs>
        <w:spacing w:line="240" w:lineRule="exact" w:before="0" w:after="0"/>
        <w:ind w:left="897" w:right="0" w:hanging="228"/>
        <w:jc w:val="left"/>
        <w:rPr>
          <w:sz w:val="21"/>
        </w:rPr>
      </w:pPr>
      <w:r>
        <w:rPr>
          <w:sz w:val="21"/>
        </w:rPr>
        <w:t>agriculture;</w:t>
      </w:r>
    </w:p>
    <w:p>
      <w:pPr>
        <w:pStyle w:val="ListParagraph"/>
        <w:numPr>
          <w:ilvl w:val="1"/>
          <w:numId w:val="1"/>
        </w:numPr>
        <w:tabs>
          <w:tab w:pos="898" w:val="left" w:leader="none"/>
        </w:tabs>
        <w:spacing w:line="240" w:lineRule="exact" w:before="0" w:after="0"/>
        <w:ind w:left="897" w:right="0" w:hanging="228"/>
        <w:jc w:val="left"/>
        <w:rPr>
          <w:sz w:val="21"/>
        </w:rPr>
      </w:pPr>
      <w:r>
        <w:rPr>
          <w:sz w:val="21"/>
        </w:rPr>
        <w:t>food processing;</w:t>
      </w:r>
    </w:p>
    <w:p>
      <w:pPr>
        <w:pStyle w:val="ListParagraph"/>
        <w:numPr>
          <w:ilvl w:val="1"/>
          <w:numId w:val="1"/>
        </w:numPr>
        <w:tabs>
          <w:tab w:pos="898" w:val="left" w:leader="none"/>
        </w:tabs>
        <w:spacing w:line="240" w:lineRule="exact" w:before="0" w:after="0"/>
        <w:ind w:left="897" w:right="0" w:hanging="228"/>
        <w:jc w:val="left"/>
        <w:rPr>
          <w:sz w:val="21"/>
        </w:rPr>
      </w:pPr>
      <w:r>
        <w:rPr>
          <w:sz w:val="21"/>
        </w:rPr>
        <w:t>food packaging;</w:t>
      </w:r>
    </w:p>
    <w:p>
      <w:pPr>
        <w:pStyle w:val="ListParagraph"/>
        <w:numPr>
          <w:ilvl w:val="1"/>
          <w:numId w:val="1"/>
        </w:numPr>
        <w:tabs>
          <w:tab w:pos="898" w:val="left" w:leader="none"/>
        </w:tabs>
        <w:spacing w:line="240" w:lineRule="auto" w:before="0" w:after="0"/>
        <w:ind w:left="897" w:right="253" w:hanging="168"/>
        <w:jc w:val="left"/>
        <w:rPr>
          <w:sz w:val="21"/>
        </w:rPr>
      </w:pPr>
      <w:r>
        <w:rPr>
          <w:sz w:val="21"/>
        </w:rPr>
        <w:t>manufacturing (within the meaning of the </w:t>
      </w:r>
      <w:r>
        <w:rPr>
          <w:i/>
          <w:sz w:val="21"/>
        </w:rPr>
        <w:t>Australian and New Zealand Standard Industrial Classification (ANZSIC))</w:t>
      </w:r>
      <w:r>
        <w:rPr>
          <w:sz w:val="21"/>
        </w:rPr>
        <w:t>;</w:t>
      </w:r>
    </w:p>
    <w:p>
      <w:pPr>
        <w:pStyle w:val="ListParagraph"/>
        <w:numPr>
          <w:ilvl w:val="1"/>
          <w:numId w:val="1"/>
        </w:numPr>
        <w:tabs>
          <w:tab w:pos="898" w:val="left" w:leader="none"/>
        </w:tabs>
        <w:spacing w:line="239" w:lineRule="exact" w:before="0" w:after="0"/>
        <w:ind w:left="897" w:right="0" w:hanging="228"/>
        <w:jc w:val="left"/>
        <w:rPr>
          <w:sz w:val="21"/>
        </w:rPr>
      </w:pPr>
      <w:r>
        <w:rPr>
          <w:sz w:val="21"/>
        </w:rPr>
        <w:t>gas</w:t>
      </w:r>
      <w:r>
        <w:rPr>
          <w:spacing w:val="-1"/>
          <w:sz w:val="21"/>
        </w:rPr>
        <w:t> </w:t>
      </w:r>
      <w:r>
        <w:rPr>
          <w:sz w:val="21"/>
        </w:rPr>
        <w:t>supply."</w:t>
      </w:r>
    </w:p>
    <w:p>
      <w:pPr>
        <w:pStyle w:val="BodyText"/>
        <w:spacing w:before="1"/>
        <w:ind w:left="0"/>
        <w:rPr>
          <w:sz w:val="18"/>
        </w:rPr>
      </w:pPr>
    </w:p>
    <w:p>
      <w:pPr>
        <w:pStyle w:val="BodyText"/>
        <w:ind w:right="104"/>
      </w:pPr>
      <w:r>
        <w:rPr/>
        <w:t>The EPBS provides an avenue for duty concessions in certain circumstances for imported eligible goods (including machinery, equipment and their components) for projects in eligible industries where the total value of eligible goods to be used in the project is $10 million or greater.</w:t>
      </w:r>
    </w:p>
    <w:p>
      <w:pPr>
        <w:pStyle w:val="BodyText"/>
        <w:spacing w:before="10"/>
        <w:ind w:left="0"/>
        <w:rPr>
          <w:sz w:val="17"/>
        </w:rPr>
      </w:pPr>
    </w:p>
    <w:p>
      <w:pPr>
        <w:pStyle w:val="BodyText"/>
        <w:ind w:right="87"/>
      </w:pPr>
      <w:r>
        <w:rPr/>
        <w:t>An Australian Industry Participation Plan (AIP Plan) is a new and important part of the EPBS and forms part of the project acceptance application. The AIP Plan supports the principles of the national Australian Industry Participation Framework. Further information about the AIP Plan can be found at </w:t>
      </w:r>
      <w:hyperlink r:id="rId5">
        <w:r>
          <w:rPr>
            <w:color w:val="0F64C7"/>
            <w:u w:val="single" w:color="0F64C7"/>
          </w:rPr>
          <w:t>www.customs.gov.au</w:t>
        </w:r>
      </w:hyperlink>
      <w:r>
        <w:rPr/>
        <w:t>.</w:t>
      </w:r>
    </w:p>
    <w:p>
      <w:pPr>
        <w:pStyle w:val="BodyText"/>
        <w:spacing w:before="10"/>
        <w:ind w:left="0"/>
        <w:rPr>
          <w:sz w:val="17"/>
        </w:rPr>
      </w:pPr>
    </w:p>
    <w:p>
      <w:pPr>
        <w:pStyle w:val="BodyText"/>
        <w:spacing w:line="446" w:lineRule="auto"/>
        <w:ind w:right="4547"/>
      </w:pPr>
      <w:r>
        <w:rPr/>
        <w:t>Tom Marshall National Manager Tariff For Chief Executive Officer 30 April 2002</w:t>
      </w:r>
    </w:p>
    <w:p>
      <w:pPr>
        <w:pStyle w:val="BodyText"/>
        <w:spacing w:before="2"/>
      </w:pPr>
      <w:r>
        <w:rPr/>
        <w:t>(Tariff Concessions - C01/05020)</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1"/>
      <w:numFmt w:val="lowerLetter"/>
      <w:lvlText w:val="%2."/>
      <w:lvlJc w:val="left"/>
      <w:pPr>
        <w:ind w:left="897" w:hanging="228"/>
        <w:jc w:val="left"/>
      </w:pPr>
      <w:rPr>
        <w:rFonts w:hint="default" w:ascii="Arial" w:hAnsi="Arial" w:eastAsia="Arial" w:cs="Arial"/>
        <w:spacing w:val="-12"/>
        <w:w w:val="100"/>
        <w:sz w:val="21"/>
        <w:szCs w:val="21"/>
      </w:rPr>
    </w:lvl>
    <w:lvl w:ilvl="2">
      <w:start w:val="0"/>
      <w:numFmt w:val="bullet"/>
      <w:lvlText w:val="•"/>
      <w:lvlJc w:val="left"/>
      <w:pPr>
        <w:ind w:left="1995" w:hanging="228"/>
      </w:pPr>
      <w:rPr>
        <w:rFonts w:hint="default"/>
      </w:rPr>
    </w:lvl>
    <w:lvl w:ilvl="3">
      <w:start w:val="0"/>
      <w:numFmt w:val="bullet"/>
      <w:lvlText w:val="•"/>
      <w:lvlJc w:val="left"/>
      <w:pPr>
        <w:ind w:left="3091" w:hanging="228"/>
      </w:pPr>
      <w:rPr>
        <w:rFonts w:hint="default"/>
      </w:rPr>
    </w:lvl>
    <w:lvl w:ilvl="4">
      <w:start w:val="0"/>
      <w:numFmt w:val="bullet"/>
      <w:lvlText w:val="•"/>
      <w:lvlJc w:val="left"/>
      <w:pPr>
        <w:ind w:left="4186" w:hanging="228"/>
      </w:pPr>
      <w:rPr>
        <w:rFonts w:hint="default"/>
      </w:rPr>
    </w:lvl>
    <w:lvl w:ilvl="5">
      <w:start w:val="0"/>
      <w:numFmt w:val="bullet"/>
      <w:lvlText w:val="•"/>
      <w:lvlJc w:val="left"/>
      <w:pPr>
        <w:ind w:left="5282" w:hanging="228"/>
      </w:pPr>
      <w:rPr>
        <w:rFonts w:hint="default"/>
      </w:rPr>
    </w:lvl>
    <w:lvl w:ilvl="6">
      <w:start w:val="0"/>
      <w:numFmt w:val="bullet"/>
      <w:lvlText w:val="•"/>
      <w:lvlJc w:val="left"/>
      <w:pPr>
        <w:ind w:left="6377" w:hanging="228"/>
      </w:pPr>
      <w:rPr>
        <w:rFonts w:hint="default"/>
      </w:rPr>
    </w:lvl>
    <w:lvl w:ilvl="7">
      <w:start w:val="0"/>
      <w:numFmt w:val="bullet"/>
      <w:lvlText w:val="•"/>
      <w:lvlJc w:val="left"/>
      <w:pPr>
        <w:ind w:left="7473" w:hanging="228"/>
      </w:pPr>
      <w:rPr>
        <w:rFonts w:hint="default"/>
      </w:rPr>
    </w:lvl>
    <w:lvl w:ilvl="8">
      <w:start w:val="0"/>
      <w:numFmt w:val="bullet"/>
      <w:lvlText w:val="•"/>
      <w:lvlJc w:val="left"/>
      <w:pPr>
        <w:ind w:left="8568" w:hanging="22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line="240" w:lineRule="exact"/>
      <w:ind w:left="897" w:hanging="22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2020-12-09T22:35:46Z</dcterms:created>
  <dcterms:modified xsi:type="dcterms:W3CDTF">2020-12-09T22:35:46Z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