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36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Luxury car tax threshold</w:t>
      </w:r>
    </w:p>
    <w:p>
      <w:pPr>
        <w:pStyle w:val="BodyText"/>
        <w:spacing w:before="282"/>
        <w:ind w:right="96"/>
      </w:pPr>
      <w:r>
        <w:rPr/>
        <w:t>The Australian Taxation Office recently announced that the luxury car tax threshold would increase on 1 July 2002 to $57,009.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This means that, for the 2002-03 financial year, any motor vehicle defined as a 'luxury car' in the </w:t>
      </w:r>
      <w:r>
        <w:rPr>
          <w:i/>
        </w:rPr>
        <w:t>A New Tax System (Luxury Car Tax) Act 1999 </w:t>
      </w:r>
      <w:r>
        <w:rPr/>
        <w:t>with a value above $57,009 is subject to luxury car tax on the portion of its value exceeding that figure.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96"/>
      </w:pPr>
      <w:r>
        <w:rPr/>
        <w:t>All other matters relating to the treatment of luxury car tax for Customs clearance purposes remain as detailed in ACN 2001/58.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8862"/>
      </w:pPr>
      <w:r>
        <w:rPr/>
        <w:t>Ken Riordan National Manager</w:t>
      </w:r>
    </w:p>
    <w:p>
      <w:pPr>
        <w:pStyle w:val="BodyText"/>
        <w:spacing w:line="237" w:lineRule="auto"/>
        <w:ind w:right="7251"/>
      </w:pPr>
      <w:r>
        <w:rPr/>
        <w:t>Import Export Management Branch For</w:t>
      </w:r>
    </w:p>
    <w:p>
      <w:pPr>
        <w:pStyle w:val="BodyText"/>
        <w:spacing w:line="477" w:lineRule="auto"/>
        <w:ind w:right="7968"/>
      </w:pPr>
      <w:r>
        <w:rPr/>
        <w:t>Chief Executive Officer June 2002</w:t>
      </w:r>
    </w:p>
    <w:sectPr>
      <w:type w:val="continuous"/>
      <w:pgSz w:w="11900" w:h="16840"/>
      <w:pgMar w:top="700" w:bottom="280" w:left="6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2020-12-09T22:42:11Z</dcterms:created>
  <dcterms:modified xsi:type="dcterms:W3CDTF">2020-12-09T22:42:11Z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