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46</w:t>
      </w:r>
    </w:p>
    <w:p>
      <w:pPr>
        <w:spacing w:before="354"/>
        <w:ind w:left="109" w:right="0" w:firstLine="0"/>
        <w:jc w:val="left"/>
        <w:rPr>
          <w:b/>
          <w:sz w:val="33"/>
        </w:rPr>
      </w:pPr>
      <w:r>
        <w:rPr>
          <w:b/>
          <w:color w:val="202020"/>
          <w:sz w:val="33"/>
        </w:rPr>
        <w:t>Application for customs broker's licence</w:t>
      </w:r>
    </w:p>
    <w:p>
      <w:pPr>
        <w:pStyle w:val="BodyText"/>
        <w:spacing w:before="258"/>
        <w:ind w:left="109"/>
      </w:pPr>
      <w:r>
        <w:rPr/>
        <w:pict>
          <v:rect style="position:absolute;margin-left:46.101822pt;margin-top:23.863098pt;width:2.736292pt;height:316.725813pt;mso-position-horizontal-relative:page;mso-position-vertical-relative:paragraph;z-index:15730688" filled="true" fillcolor="#003366" stroked="false">
            <v:fill type="solid"/>
            <w10:wrap type="none"/>
          </v:rect>
        </w:pict>
      </w:r>
      <w:r>
        <w:rPr/>
        <w:t>The following persons have applied to the Chief Executive Officer for a customs broker's licence:</w:t>
      </w:r>
    </w:p>
    <w:p>
      <w:pPr>
        <w:pStyle w:val="BodyText"/>
        <w:spacing w:before="6"/>
        <w:rPr>
          <w:sz w:val="15"/>
        </w:rPr>
      </w:pPr>
    </w:p>
    <w:tbl>
      <w:tblPr>
        <w:tblW w:w="0" w:type="auto"/>
        <w:jc w:val="left"/>
        <w:tblInd w:w="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3"/>
        <w:gridCol w:w="7553"/>
      </w:tblGrid>
      <w:tr>
        <w:trPr>
          <w:trHeight w:val="363" w:hRule="atLeast"/>
        </w:trPr>
        <w:tc>
          <w:tcPr>
            <w:tcW w:w="7573" w:type="dxa"/>
            <w:tcBorders>
              <w:top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41" w:lineRule="exact" w:before="103"/>
              <w:ind w:left="116"/>
              <w:rPr>
                <w:b/>
                <w:sz w:val="23"/>
              </w:rPr>
            </w:pPr>
            <w:r>
              <w:rPr>
                <w:b/>
                <w:color w:val="202020"/>
                <w:sz w:val="23"/>
              </w:rPr>
              <w:t>Progress Shipping Pty Ltd</w:t>
            </w:r>
          </w:p>
        </w:tc>
        <w:tc>
          <w:tcPr>
            <w:tcW w:w="7553" w:type="dxa"/>
            <w:tcBorders>
              <w:top w:val="single" w:sz="6" w:space="0" w:color="C8C8C8"/>
              <w:left w:val="single" w:sz="6" w:space="0" w:color="C8C8C8"/>
            </w:tcBorders>
          </w:tcPr>
          <w:p>
            <w:pPr>
              <w:pStyle w:val="TableParagraph"/>
              <w:spacing w:line="241" w:lineRule="exact" w:before="103"/>
              <w:rPr>
                <w:b/>
                <w:sz w:val="23"/>
              </w:rPr>
            </w:pPr>
            <w:r>
              <w:rPr>
                <w:b/>
                <w:color w:val="202020"/>
                <w:sz w:val="23"/>
              </w:rPr>
              <w:t>Focus International Freight Pty Ltd</w:t>
            </w:r>
          </w:p>
        </w:tc>
      </w:tr>
      <w:tr>
        <w:trPr>
          <w:trHeight w:val="259" w:hRule="atLeast"/>
        </w:trPr>
        <w:tc>
          <w:tcPr>
            <w:tcW w:w="7573" w:type="dxa"/>
            <w:tcBorders>
              <w:right w:val="single" w:sz="6" w:space="0" w:color="C8C8C8"/>
            </w:tcBorders>
          </w:tcPr>
          <w:p>
            <w:pPr>
              <w:pStyle w:val="TableParagraph"/>
              <w:ind w:left="116"/>
              <w:rPr>
                <w:b/>
                <w:sz w:val="23"/>
              </w:rPr>
            </w:pPr>
            <w:r>
              <w:rPr>
                <w:b/>
                <w:color w:val="202020"/>
                <w:sz w:val="23"/>
              </w:rPr>
              <w:t>31-37 Buckhurst St</w:t>
            </w:r>
          </w:p>
        </w:tc>
        <w:tc>
          <w:tcPr>
            <w:tcW w:w="7553" w:type="dxa"/>
            <w:tcBorders>
              <w:left w:val="single" w:sz="6" w:space="0" w:color="C8C8C8"/>
            </w:tcBorders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202020"/>
                <w:sz w:val="23"/>
              </w:rPr>
              <w:t>Unit 20 &amp;amp; 21 MIAC Building</w:t>
            </w:r>
          </w:p>
        </w:tc>
      </w:tr>
      <w:tr>
        <w:trPr>
          <w:trHeight w:val="633" w:hRule="atLeast"/>
        </w:trPr>
        <w:tc>
          <w:tcPr>
            <w:tcW w:w="7573" w:type="dxa"/>
            <w:tcBorders>
              <w:bottom w:val="single" w:sz="6" w:space="0" w:color="C8C8C8"/>
              <w:right w:val="single" w:sz="6" w:space="0" w:color="C8C8C8"/>
            </w:tcBorders>
          </w:tcPr>
          <w:p>
            <w:pPr>
              <w:pStyle w:val="TableParagraph"/>
              <w:spacing w:line="261" w:lineRule="exact"/>
              <w:ind w:left="116"/>
              <w:rPr>
                <w:b/>
                <w:sz w:val="23"/>
              </w:rPr>
            </w:pPr>
            <w:r>
              <w:rPr>
                <w:b/>
                <w:color w:val="202020"/>
                <w:sz w:val="23"/>
              </w:rPr>
              <w:t>South Melbourne VIC 205</w:t>
            </w:r>
          </w:p>
        </w:tc>
        <w:tc>
          <w:tcPr>
            <w:tcW w:w="7553" w:type="dxa"/>
            <w:tcBorders>
              <w:left w:val="single" w:sz="6" w:space="0" w:color="C8C8C8"/>
              <w:bottom w:val="single" w:sz="6" w:space="0" w:color="C8C8C8"/>
            </w:tcBorders>
          </w:tcPr>
          <w:p>
            <w:pPr>
              <w:pStyle w:val="TableParagraph"/>
              <w:spacing w:line="240" w:lineRule="auto"/>
              <w:ind w:right="3674"/>
              <w:rPr>
                <w:b/>
                <w:sz w:val="23"/>
              </w:rPr>
            </w:pPr>
            <w:r>
              <w:rPr>
                <w:b/>
                <w:color w:val="202020"/>
                <w:sz w:val="23"/>
              </w:rPr>
              <w:t>International Drive Tullamarine VIC 3043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57.731064pt;margin-top:10.521527pt;width:756.3pt;height:25.35pt;mso-position-horizontal-relative:page;mso-position-vertical-relative:paragraph;z-index:-15728640;mso-wrap-distance-left:0;mso-wrap-distance-right:0" coordorigin="1155,210" coordsize="15126,507">
            <v:shape style="position:absolute;left:1154;top:210;width:15126;height:507" coordorigin="1155,210" coordsize="15126,507" path="m16280,210l8734,210,8720,210,1155,210,1155,224,8720,224,8720,703,1155,703,1155,717,8720,717,8734,717,16280,717,16280,703,8734,703,8734,224,16280,224,16280,210xe" filled="true" fillcolor="#c8c8c8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63;top:328;width:2114;height:261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0" w:firstLine="0"/>
                      <w:jc w:val="left"/>
                      <w:rPr>
                        <w:rFonts w:ascii="Georgia"/>
                        <w:sz w:val="23"/>
                      </w:rPr>
                    </w:pPr>
                    <w:r>
                      <w:rPr>
                        <w:rFonts w:ascii="Georgia"/>
                        <w:color w:val="202020"/>
                        <w:sz w:val="23"/>
                        <w:u w:val="single" w:color="202020"/>
                      </w:rPr>
                      <w:t>Persons in Authority</w:t>
                    </w:r>
                  </w:p>
                </w:txbxContent>
              </v:textbox>
              <w10:wrap type="none"/>
            </v:shape>
            <v:shape style="position:absolute;left:8843;top:328;width:2114;height:261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0" w:firstLine="0"/>
                      <w:jc w:val="left"/>
                      <w:rPr>
                        <w:rFonts w:ascii="Georgia"/>
                        <w:sz w:val="23"/>
                      </w:rPr>
                    </w:pPr>
                    <w:r>
                      <w:rPr>
                        <w:rFonts w:ascii="Georgia"/>
                        <w:color w:val="202020"/>
                        <w:sz w:val="23"/>
                        <w:u w:val="single" w:color="202020"/>
                      </w:rPr>
                      <w:t>Persons in Authority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group style="position:absolute;margin-left:57.731064pt;margin-top:11.677596pt;width:756.3pt;height:38.35pt;mso-position-horizontal-relative:page;mso-position-vertical-relative:paragraph;z-index:-15728128;mso-wrap-distance-left:0;mso-wrap-distance-right:0" coordorigin="1155,234" coordsize="15126,767">
            <v:shape style="position:absolute;left:1154;top:233;width:15126;height:767" coordorigin="1155,234" coordsize="15126,767" path="m16280,234l8734,234,8720,234,1155,234,1155,247,8720,247,8720,986,1155,986,1155,1000,8720,1000,8734,1000,16280,1000,16280,986,8734,986,8734,247,16280,247,16280,234xe" filled="true" fillcolor="#c8c8c8" stroked="false">
              <v:path arrowok="t"/>
              <v:fill type="solid"/>
            </v:shape>
            <v:shape style="position:absolute;left:1263;top:351;width:2303;height:261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0" w:firstLine="0"/>
                      <w:jc w:val="left"/>
                      <w:rPr>
                        <w:rFonts w:ascii="Georgia"/>
                        <w:sz w:val="23"/>
                      </w:rPr>
                    </w:pPr>
                    <w:r>
                      <w:rPr>
                        <w:rFonts w:ascii="Georgia"/>
                        <w:color w:val="202020"/>
                        <w:sz w:val="23"/>
                      </w:rPr>
                      <w:t>Bradford Lincoln Page</w:t>
                    </w:r>
                  </w:p>
                </w:txbxContent>
              </v:textbox>
              <w10:wrap type="none"/>
            </v:shape>
            <v:shape style="position:absolute;left:8843;top:351;width:2118;height:521" type="#_x0000_t202" filled="false" stroked="false">
              <v:textbox inset="0,0,0,0">
                <w:txbxContent>
                  <w:p>
                    <w:pPr>
                      <w:spacing w:line="260" w:lineRule="exact" w:before="0"/>
                      <w:ind w:left="0" w:right="0" w:firstLine="0"/>
                      <w:jc w:val="left"/>
                      <w:rPr>
                        <w:rFonts w:ascii="Georgia"/>
                        <w:sz w:val="23"/>
                      </w:rPr>
                    </w:pPr>
                    <w:r>
                      <w:rPr>
                        <w:rFonts w:ascii="Georgia"/>
                        <w:color w:val="202020"/>
                        <w:sz w:val="23"/>
                      </w:rPr>
                      <w:t>Joe Carbone</w:t>
                    </w:r>
                  </w:p>
                  <w:p>
                    <w:pPr>
                      <w:spacing w:line="261" w:lineRule="exact" w:before="0"/>
                      <w:ind w:left="0" w:right="0" w:firstLine="0"/>
                      <w:jc w:val="left"/>
                      <w:rPr>
                        <w:rFonts w:ascii="Georgia"/>
                        <w:sz w:val="23"/>
                      </w:rPr>
                    </w:pPr>
                    <w:r>
                      <w:rPr>
                        <w:rFonts w:ascii="Georgia"/>
                        <w:color w:val="202020"/>
                        <w:sz w:val="23"/>
                      </w:rPr>
                      <w:t>Mark John Carmody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  <w:r>
        <w:rPr/>
        <w:pict>
          <v:group style="position:absolute;margin-left:57.731064pt;margin-top:13.175957pt;width:756.3pt;height:25.35pt;mso-position-horizontal-relative:page;mso-position-vertical-relative:paragraph;z-index:-15727616;mso-wrap-distance-left:0;mso-wrap-distance-right:0" coordorigin="1155,264" coordsize="15126,507">
            <v:shape style="position:absolute;left:1154;top:263;width:15126;height:507" coordorigin="1155,264" coordsize="15126,507" path="m16280,264l8734,264,8720,264,1155,264,1155,277,8720,277,8720,756,1155,756,1155,770,8720,770,8734,770,16280,770,16280,756,8734,756,8734,277,16280,277,16280,264xe" filled="true" fillcolor="#c8c8c8" stroked="false">
              <v:path arrowok="t"/>
              <v:fill type="solid"/>
            </v:shape>
            <v:shape style="position:absolute;left:1263;top:381;width:1095;height:261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0" w:firstLine="0"/>
                      <w:jc w:val="left"/>
                      <w:rPr>
                        <w:rFonts w:ascii="Georgia"/>
                        <w:b/>
                        <w:sz w:val="23"/>
                      </w:rPr>
                    </w:pPr>
                    <w:r>
                      <w:rPr>
                        <w:rFonts w:ascii="Georgia"/>
                        <w:b/>
                        <w:color w:val="202020"/>
                        <w:sz w:val="23"/>
                        <w:u w:val="single" w:color="202020"/>
                      </w:rPr>
                      <w:t>Nominee</w:t>
                    </w:r>
                  </w:p>
                </w:txbxContent>
              </v:textbox>
              <w10:wrap type="none"/>
            </v:shape>
            <v:shape style="position:absolute;left:8843;top:381;width:1095;height:261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0" w:firstLine="0"/>
                      <w:jc w:val="left"/>
                      <w:rPr>
                        <w:rFonts w:ascii="Georgia"/>
                        <w:b/>
                        <w:sz w:val="23"/>
                      </w:rPr>
                    </w:pPr>
                    <w:r>
                      <w:rPr>
                        <w:rFonts w:ascii="Georgia"/>
                        <w:b/>
                        <w:color w:val="202020"/>
                        <w:sz w:val="23"/>
                        <w:u w:val="single" w:color="202020"/>
                      </w:rPr>
                      <w:t>Nominee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group style="position:absolute;margin-left:57.731064pt;margin-top:11.67759pt;width:756.3pt;height:25.35pt;mso-position-horizontal-relative:page;mso-position-vertical-relative:paragraph;z-index:-15727104;mso-wrap-distance-left:0;mso-wrap-distance-right:0" coordorigin="1155,234" coordsize="15126,507">
            <v:shape style="position:absolute;left:1154;top:233;width:15126;height:507" coordorigin="1155,234" coordsize="15126,507" path="m16280,234l8734,234,8720,234,1155,234,1155,247,8720,247,8720,726,1155,726,1155,740,8720,740,8734,740,16280,740,16280,726,8734,726,8734,247,16280,247,16280,234xe" filled="true" fillcolor="#c8c8c8" stroked="false">
              <v:path arrowok="t"/>
              <v:fill type="solid"/>
            </v:shape>
            <v:shape style="position:absolute;left:1263;top:351;width:3568;height:261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0" w:firstLine="0"/>
                      <w:jc w:val="left"/>
                      <w:rPr>
                        <w:rFonts w:ascii="Georgia"/>
                        <w:sz w:val="23"/>
                      </w:rPr>
                    </w:pPr>
                    <w:r>
                      <w:rPr>
                        <w:rFonts w:ascii="Georgia"/>
                        <w:color w:val="202020"/>
                        <w:sz w:val="23"/>
                      </w:rPr>
                      <w:t>Brian Philip Young (Lic No: 01914)</w:t>
                    </w:r>
                  </w:p>
                </w:txbxContent>
              </v:textbox>
              <w10:wrap type="none"/>
            </v:shape>
            <v:shape style="position:absolute;left:8843;top:351;width:3258;height:261" type="#_x0000_t202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0" w:firstLine="0"/>
                      <w:jc w:val="left"/>
                      <w:rPr>
                        <w:rFonts w:ascii="Georgia"/>
                        <w:sz w:val="23"/>
                      </w:rPr>
                    </w:pPr>
                    <w:r>
                      <w:rPr>
                        <w:rFonts w:ascii="Georgia"/>
                        <w:color w:val="202020"/>
                        <w:sz w:val="23"/>
                      </w:rPr>
                      <w:t>Robert Mercuri (Lic No: 02345)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51"/>
        <w:ind w:left="109"/>
      </w:pPr>
      <w:r>
        <w:rPr/>
        <w:pict>
          <v:rect style="position:absolute;margin-left:46.101822pt;margin-top:18.513105pt;width:2.736292pt;height:69.775449pt;mso-position-horizontal-relative:page;mso-position-vertical-relative:paragraph;z-index:15731200" filled="true" fillcolor="#003366" stroked="false">
            <v:fill type="solid"/>
            <w10:wrap type="none"/>
          </v:rect>
        </w:pict>
      </w:r>
      <w:r>
        <w:rPr/>
        <w:t>Any person wishing to make written representation in respect of these applications should address their correspondence to:</w:t>
      </w:r>
    </w:p>
    <w:p>
      <w:pPr>
        <w:pStyle w:val="Heading1"/>
        <w:spacing w:before="173"/>
        <w:ind w:right="11701"/>
      </w:pPr>
      <w:r>
        <w:rPr>
          <w:color w:val="585858"/>
        </w:rPr>
        <w:t>Australian Customs Service Broker Licensing Group</w:t>
      </w:r>
    </w:p>
    <w:p>
      <w:pPr>
        <w:spacing w:line="258" w:lineRule="exact" w:before="0"/>
        <w:ind w:left="574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color w:val="585858"/>
          <w:sz w:val="23"/>
        </w:rPr>
        <w:t>5 Constitution Avenue</w:t>
      </w:r>
    </w:p>
    <w:p>
      <w:pPr>
        <w:pStyle w:val="Heading1"/>
        <w:spacing w:line="261" w:lineRule="exact"/>
      </w:pPr>
      <w:r>
        <w:rPr>
          <w:color w:val="585858"/>
        </w:rPr>
        <w:t>CANBERRA ACT 2601</w:t>
      </w:r>
    </w:p>
    <w:p>
      <w:pPr>
        <w:pStyle w:val="BodyText"/>
        <w:spacing w:before="5"/>
        <w:rPr>
          <w:rFonts w:ascii="Georgia"/>
          <w:i/>
          <w:sz w:val="36"/>
        </w:rPr>
      </w:pPr>
    </w:p>
    <w:p>
      <w:pPr>
        <w:pStyle w:val="BodyText"/>
        <w:ind w:left="109"/>
      </w:pPr>
      <w:r>
        <w:rPr/>
        <w:t>By 13 August 2002</w:t>
      </w:r>
    </w:p>
    <w:p>
      <w:pPr>
        <w:spacing w:after="0"/>
        <w:sectPr>
          <w:type w:val="continuous"/>
          <w:pgSz w:w="16840" w:h="11900" w:orient="landscape"/>
          <w:pgMar w:top="680" w:bottom="280" w:left="580" w:right="440"/>
        </w:sectPr>
      </w:pPr>
    </w:p>
    <w:p>
      <w:pPr>
        <w:pStyle w:val="BodyText"/>
        <w:spacing w:before="79"/>
        <w:ind w:left="109" w:right="14191"/>
      </w:pPr>
      <w:r>
        <w:rPr/>
        <w:t>Ken Riordan National Manager</w:t>
      </w:r>
    </w:p>
    <w:p>
      <w:pPr>
        <w:pStyle w:val="BodyText"/>
        <w:spacing w:before="1"/>
        <w:ind w:left="109" w:right="12489"/>
      </w:pPr>
      <w:r>
        <w:rPr/>
        <w:t>Import/Export Management Branch For</w:t>
      </w:r>
    </w:p>
    <w:p>
      <w:pPr>
        <w:pStyle w:val="BodyText"/>
        <w:spacing w:line="451" w:lineRule="auto" w:before="1"/>
        <w:ind w:left="109" w:right="13758"/>
      </w:pPr>
      <w:r>
        <w:rPr/>
        <w:t>Chief Executive Officer 30 July 200</w:t>
      </w:r>
    </w:p>
    <w:sectPr>
      <w:pgSz w:w="16840" w:h="11900" w:orient="landscape"/>
      <w:pgMar w:top="50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574"/>
      <w:outlineLvl w:val="1"/>
    </w:pPr>
    <w:rPr>
      <w:rFonts w:ascii="Georgia" w:hAnsi="Georgia" w:eastAsia="Georgia" w:cs="Georgia"/>
      <w:i/>
      <w:sz w:val="23"/>
      <w:szCs w:val="23"/>
    </w:rPr>
  </w:style>
  <w:style w:styleId="Title" w:type="paragraph">
    <w:name w:val="Title"/>
    <w:basedOn w:val="Normal"/>
    <w:uiPriority w:val="1"/>
    <w:qFormat/>
    <w:pPr>
      <w:spacing w:before="67"/>
      <w:ind w:left="109"/>
    </w:pPr>
    <w:rPr>
      <w:rFonts w:ascii="Arial" w:hAnsi="Arial" w:eastAsia="Arial" w:cs="Arial"/>
      <w:b/>
      <w:bCs/>
      <w:sz w:val="42"/>
      <w:szCs w:val="4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40" w:lineRule="exact"/>
      <w:ind w:left="115"/>
    </w:pPr>
    <w:rPr>
      <w:rFonts w:ascii="Georgia" w:hAnsi="Georgia" w:eastAsia="Georgia" w:cs="Georgi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2020-12-09T22:33:06Z</dcterms:created>
  <dcterms:modified xsi:type="dcterms:W3CDTF">2020-12-09T22:33:06Z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