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50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Applications for customs broker licences</w:t>
      </w:r>
    </w:p>
    <w:p>
      <w:pPr>
        <w:pStyle w:val="BodyText"/>
        <w:spacing w:before="254"/>
      </w:pPr>
      <w:r>
        <w:rPr/>
        <w:t>The following persons have applied to the Chief Executive Officer for customs broker licences: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3"/>
        <w:gridCol w:w="7779"/>
      </w:tblGrid>
      <w:tr>
        <w:trPr>
          <w:trHeight w:val="1067" w:hRule="atLeast"/>
        </w:trPr>
        <w:tc>
          <w:tcPr>
            <w:tcW w:w="7813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left="101" w:right="463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Famous Pacific Shipping Pty Ltd Unit 6/279 Abbotsford Road Albion QLD 4010</w:t>
            </w:r>
          </w:p>
        </w:tc>
        <w:tc>
          <w:tcPr>
            <w:tcW w:w="7779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right="4376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Integrated Logistics Management Pty Ltd</w:t>
            </w:r>
          </w:p>
          <w:p>
            <w:pPr>
              <w:pStyle w:val="TableParagraph"/>
              <w:spacing w:line="237" w:lineRule="auto"/>
              <w:ind w:right="505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Level 1, 250 English St Essendon Airport VIC 3041</w:t>
            </w:r>
          </w:p>
        </w:tc>
      </w:tr>
      <w:tr>
        <w:trPr>
          <w:trHeight w:val="1026" w:hRule="atLeast"/>
        </w:trPr>
        <w:tc>
          <w:tcPr>
            <w:tcW w:w="7813" w:type="dxa"/>
            <w:tcBorders>
              <w:left w:val="nil"/>
            </w:tcBorders>
          </w:tcPr>
          <w:p>
            <w:pPr>
              <w:pStyle w:val="TableParagraph"/>
              <w:spacing w:line="446" w:lineRule="auto" w:before="91"/>
              <w:ind w:left="101" w:right="5422"/>
              <w:rPr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Persons in Authority</w:t>
            </w:r>
            <w:r>
              <w:rPr>
                <w:b/>
                <w:color w:val="202020"/>
                <w:sz w:val="19"/>
              </w:rPr>
              <w:t> </w:t>
            </w:r>
            <w:r>
              <w:rPr>
                <w:color w:val="202020"/>
                <w:sz w:val="19"/>
              </w:rPr>
              <w:t>Anita Michelle Dougal</w:t>
            </w:r>
          </w:p>
        </w:tc>
        <w:tc>
          <w:tcPr>
            <w:tcW w:w="7779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Persons in Authority</w:t>
            </w:r>
          </w:p>
          <w:p>
            <w:pPr>
              <w:pStyle w:val="TableParagraph"/>
              <w:spacing w:before="5"/>
              <w:ind w:left="0"/>
              <w:rPr>
                <w:sz w:val="16"/>
              </w:rPr>
            </w:pPr>
          </w:p>
          <w:p>
            <w:pPr>
              <w:pStyle w:val="TableParagraph"/>
              <w:spacing w:line="237" w:lineRule="auto"/>
              <w:ind w:right="5051"/>
              <w:rPr>
                <w:sz w:val="19"/>
              </w:rPr>
            </w:pPr>
            <w:r>
              <w:rPr>
                <w:color w:val="202020"/>
                <w:sz w:val="19"/>
              </w:rPr>
              <w:t>Paul Raymond Wensor Graeme Geoffrey Moon</w:t>
            </w:r>
          </w:p>
        </w:tc>
      </w:tr>
      <w:tr>
        <w:trPr>
          <w:trHeight w:val="1243" w:hRule="atLeast"/>
        </w:trPr>
        <w:tc>
          <w:tcPr>
            <w:tcW w:w="7813" w:type="dxa"/>
            <w:tcBorders>
              <w:left w:val="nil"/>
            </w:tcBorders>
          </w:tcPr>
          <w:p>
            <w:pPr>
              <w:pStyle w:val="TableParagraph"/>
              <w:spacing w:before="91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Nominee</w:t>
            </w:r>
          </w:p>
          <w:p>
            <w:pPr>
              <w:pStyle w:val="TableParagraph"/>
              <w:spacing w:before="4"/>
              <w:ind w:left="0"/>
              <w:rPr>
                <w:sz w:val="16"/>
              </w:rPr>
            </w:pPr>
          </w:p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Anthony Walter Gardner (Lic No: 02557)</w:t>
            </w:r>
          </w:p>
        </w:tc>
        <w:tc>
          <w:tcPr>
            <w:tcW w:w="7779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Nominee</w:t>
            </w:r>
          </w:p>
          <w:p>
            <w:pPr>
              <w:pStyle w:val="TableParagraph"/>
              <w:spacing w:before="5"/>
              <w:ind w:left="0"/>
              <w:rPr>
                <w:sz w:val="16"/>
              </w:rPr>
            </w:pPr>
          </w:p>
          <w:p>
            <w:pPr>
              <w:pStyle w:val="TableParagraph"/>
              <w:spacing w:line="237" w:lineRule="auto"/>
              <w:ind w:right="4122"/>
              <w:rPr>
                <w:sz w:val="19"/>
              </w:rPr>
            </w:pPr>
            <w:r>
              <w:rPr>
                <w:color w:val="202020"/>
                <w:sz w:val="19"/>
              </w:rPr>
              <w:t>Paul Raymond Wensor (Lic No: 00598) Tony Dennis Kelly (Lic No: 02469) Graeme Geoffrey Moon (Lic No: 02393)</w:t>
            </w:r>
          </w:p>
        </w:tc>
      </w:tr>
    </w:tbl>
    <w:p>
      <w:pPr>
        <w:pStyle w:val="BodyText"/>
        <w:spacing w:line="620" w:lineRule="atLeast" w:before="2"/>
        <w:ind w:right="4948"/>
      </w:pPr>
      <w:r>
        <w:rPr/>
        <w:t>Any person wishing to make written representation in respect of these applications should address correspondence to: Australian Customs Service</w:t>
      </w:r>
    </w:p>
    <w:p>
      <w:pPr>
        <w:pStyle w:val="BodyText"/>
        <w:spacing w:line="237" w:lineRule="auto" w:before="2"/>
        <w:ind w:right="13630"/>
      </w:pPr>
      <w:r>
        <w:rPr/>
        <w:t>Broker Licensing Group 5 Constitution Avenue</w:t>
      </w:r>
    </w:p>
    <w:p>
      <w:pPr>
        <w:pStyle w:val="BodyText"/>
        <w:spacing w:line="217" w:lineRule="exact" w:before="0"/>
      </w:pPr>
      <w:r>
        <w:rPr/>
        <w:t>CANBERRA ACT 2601</w:t>
      </w:r>
    </w:p>
    <w:p>
      <w:pPr>
        <w:pStyle w:val="BodyText"/>
        <w:spacing w:line="400" w:lineRule="atLeast" w:before="6"/>
        <w:ind w:right="13630"/>
      </w:pPr>
      <w:r>
        <w:rPr/>
        <w:t>By 12 September 2002 Ken Riordan</w:t>
      </w:r>
    </w:p>
    <w:p>
      <w:pPr>
        <w:pStyle w:val="BodyText"/>
        <w:spacing w:line="217" w:lineRule="exact" w:before="3"/>
      </w:pPr>
      <w:r>
        <w:rPr/>
        <w:t>National Manager</w:t>
      </w:r>
    </w:p>
    <w:p>
      <w:pPr>
        <w:pStyle w:val="BodyText"/>
        <w:spacing w:line="237" w:lineRule="auto"/>
        <w:ind w:right="12490"/>
      </w:pPr>
      <w:r>
        <w:rPr/>
        <w:t>Import/Export Management Branch For</w:t>
      </w:r>
    </w:p>
    <w:p>
      <w:pPr>
        <w:pStyle w:val="BodyText"/>
        <w:spacing w:line="237" w:lineRule="auto"/>
        <w:ind w:right="13630"/>
      </w:pPr>
      <w:r>
        <w:rPr/>
        <w:t>Chief Executive Officer 28 August 2002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"/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2020-12-09T22:31:46Z</dcterms:created>
  <dcterms:modified xsi:type="dcterms:W3CDTF">2020-12-09T22:31:46Z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