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58</w:t>
      </w:r>
    </w:p>
    <w:p>
      <w:pPr>
        <w:spacing w:before="390"/>
        <w:ind w:left="100" w:right="0" w:firstLine="0"/>
        <w:jc w:val="left"/>
        <w:rPr>
          <w:b/>
          <w:sz w:val="36"/>
        </w:rPr>
      </w:pPr>
      <w:hyperlink r:id="rId5">
        <w:r>
          <w:rPr>
            <w:b/>
            <w:color w:val="202020"/>
            <w:sz w:val="36"/>
          </w:rPr>
          <w:t>Customs tariff working pages on www.border.gov.au</w:t>
        </w:r>
      </w:hyperlink>
    </w:p>
    <w:p>
      <w:pPr>
        <w:spacing w:before="282"/>
        <w:ind w:left="100" w:right="0" w:firstLine="0"/>
        <w:jc w:val="left"/>
        <w:rPr>
          <w:sz w:val="21"/>
        </w:rPr>
      </w:pPr>
      <w:r>
        <w:rPr>
          <w:sz w:val="21"/>
        </w:rPr>
        <w:t>The Australian Customs Service document </w:t>
      </w:r>
      <w:r>
        <w:rPr>
          <w:i/>
          <w:sz w:val="21"/>
        </w:rPr>
        <w:t>Combined Australian Customs Tariff Nomenclature and Statistical Classification</w:t>
      </w:r>
      <w:r>
        <w:rPr>
          <w:sz w:val="21"/>
        </w:rPr>
        <w:t>, commonly known as the Tariff Working Pages, has now been added to the Customs internet site.</w:t>
      </w:r>
    </w:p>
    <w:p>
      <w:pPr>
        <w:pStyle w:val="BodyText"/>
        <w:rPr>
          <w:sz w:val="18"/>
        </w:rPr>
      </w:pPr>
    </w:p>
    <w:p>
      <w:pPr>
        <w:spacing w:before="0"/>
        <w:ind w:left="100" w:right="0" w:firstLine="0"/>
        <w:jc w:val="left"/>
        <w:rPr>
          <w:sz w:val="21"/>
        </w:rPr>
      </w:pPr>
      <w:r>
        <w:rPr>
          <w:sz w:val="21"/>
        </w:rPr>
        <w:t>The Tariff comprises the </w:t>
      </w:r>
      <w:r>
        <w:rPr>
          <w:i/>
          <w:sz w:val="21"/>
        </w:rPr>
        <w:t>Customs Tariff Act 1995 </w:t>
      </w:r>
      <w:r>
        <w:rPr>
          <w:sz w:val="21"/>
        </w:rPr>
        <w:t>and its four Schedules:</w:t>
      </w:r>
    </w:p>
    <w:p>
      <w:pPr>
        <w:pStyle w:val="BodyText"/>
        <w:spacing w:before="1"/>
        <w:rPr>
          <w:sz w:val="18"/>
        </w:rPr>
      </w:pPr>
    </w:p>
    <w:p>
      <w:pPr>
        <w:pStyle w:val="BodyText"/>
        <w:ind w:left="393" w:right="2761"/>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pict>
          <v:shape style="position:absolute;margin-left:38.75pt;margin-top:29.348877pt;width:3pt;height:3pt;mso-position-horizontal-relative:page;mso-position-vertical-relative:paragraph;z-index:15729664" coordorigin="775,587" coordsize="60,60" path="m805,647l792,645,783,639,777,630,775,617,777,604,783,594,792,589,805,587,818,589,828,594,833,604,835,617,833,630,828,639,818,645,805,647xe" filled="true" fillcolor="#000000" stroked="false">
            <v:path arrowok="t"/>
            <v:fill type="solid"/>
            <w10:wrap type="none"/>
          </v:shape>
        </w:pict>
      </w:r>
      <w:r>
        <w:rPr/>
        <w:t>Schedule 1 is a list of countries and places that receive a preferential rate of duty Schedule 2 contains the general rules for the interpretation of Schedule 3 Schedule 3 is the list of tariff classifications and applicable rates of duty</w:t>
      </w:r>
    </w:p>
    <w:p>
      <w:pPr>
        <w:pStyle w:val="BodyText"/>
        <w:spacing w:line="237" w:lineRule="exact"/>
        <w:ind w:left="393"/>
      </w:pPr>
      <w:r>
        <w:rPr/>
        <w:pict>
          <v:shape style="position:absolute;margin-left:38.75pt;margin-top:5.126953pt;width:3pt;height:3pt;mso-position-horizontal-relative:page;mso-position-vertical-relative:paragraph;z-index:15730176" coordorigin="775,103" coordsize="60,60" path="m805,163l792,161,783,155,777,146,775,133,777,119,783,110,792,104,805,103,818,104,828,110,833,119,835,133,833,146,828,155,818,161,805,163xe" filled="true" fillcolor="#000000" stroked="false">
            <v:path arrowok="t"/>
            <v:fill type="solid"/>
            <w10:wrap type="none"/>
          </v:shape>
        </w:pict>
      </w:r>
      <w:r>
        <w:rPr/>
        <w:t>Schedule 4 lists those classes of goods for which a concessional rate of duty applies.</w:t>
      </w:r>
    </w:p>
    <w:p>
      <w:pPr>
        <w:pStyle w:val="BodyText"/>
        <w:spacing w:before="2"/>
        <w:rPr>
          <w:sz w:val="18"/>
        </w:rPr>
      </w:pPr>
    </w:p>
    <w:p>
      <w:pPr>
        <w:pStyle w:val="BodyText"/>
        <w:ind w:left="100" w:right="743"/>
      </w:pPr>
      <w:r>
        <w:rPr/>
        <w:t>The documents are available in Acrobat pdf format. There is also a search function to locate references to specific goods.</w:t>
      </w:r>
    </w:p>
    <w:p>
      <w:pPr>
        <w:pStyle w:val="BodyText"/>
        <w:rPr>
          <w:sz w:val="18"/>
        </w:rPr>
      </w:pPr>
    </w:p>
    <w:p>
      <w:pPr>
        <w:pStyle w:val="BodyText"/>
        <w:ind w:left="100"/>
      </w:pPr>
      <w:r>
        <w:rPr/>
        <w:t>Tariff Concession Orders and by-laws made for the purposes of the concessional items in Schedule 4 are not yet included on this site. They will be made available progressively over the coming months.</w:t>
      </w:r>
    </w:p>
    <w:p>
      <w:pPr>
        <w:pStyle w:val="BodyText"/>
        <w:rPr>
          <w:sz w:val="18"/>
        </w:rPr>
      </w:pPr>
    </w:p>
    <w:p>
      <w:pPr>
        <w:pStyle w:val="BodyText"/>
        <w:ind w:left="100"/>
      </w:pPr>
      <w:r>
        <w:rPr/>
        <w:t>While every effort has been made to ensure the accuracy of the information contained on the Customs Tariff internet site, final reference should be made to the published copy of the Tariff Working Pages, which should also be read in conjunction with the Customs Tariff Act 1995.</w:t>
      </w:r>
    </w:p>
    <w:p>
      <w:pPr>
        <w:pStyle w:val="BodyText"/>
        <w:spacing w:before="10"/>
        <w:rPr>
          <w:sz w:val="17"/>
        </w:rPr>
      </w:pPr>
    </w:p>
    <w:p>
      <w:pPr>
        <w:pStyle w:val="BodyText"/>
        <w:ind w:left="100"/>
      </w:pPr>
      <w:r>
        <w:rPr>
          <w:spacing w:val="-12"/>
        </w:rPr>
        <w:t>To </w:t>
      </w:r>
      <w:r>
        <w:rPr/>
        <w:t>access the </w:t>
      </w:r>
      <w:r>
        <w:rPr>
          <w:spacing w:val="-5"/>
        </w:rPr>
        <w:t>Tariff </w:t>
      </w:r>
      <w:r>
        <w:rPr/>
        <w:t>Working Pages, go to </w:t>
      </w:r>
      <w:hyperlink r:id="rId6">
        <w:r>
          <w:rPr>
            <w:color w:val="0F64C7"/>
            <w:spacing w:val="-3"/>
          </w:rPr>
          <w:t>www.border.gov.au </w:t>
        </w:r>
      </w:hyperlink>
      <w:r>
        <w:rPr/>
        <w:t>then select 'import/export', followed by 'customs tariff'.</w:t>
      </w:r>
    </w:p>
    <w:p>
      <w:pPr>
        <w:pStyle w:val="BodyText"/>
        <w:rPr>
          <w:sz w:val="18"/>
        </w:rPr>
      </w:pPr>
    </w:p>
    <w:p>
      <w:pPr>
        <w:pStyle w:val="BodyText"/>
        <w:ind w:left="100"/>
      </w:pPr>
      <w:r>
        <w:rPr/>
        <w:t>Queries regarding this ACN should be directed to Manager, Legislation and External Review, on 02 6275 6486.</w:t>
      </w:r>
    </w:p>
    <w:p>
      <w:pPr>
        <w:pStyle w:val="BodyText"/>
        <w:rPr>
          <w:sz w:val="22"/>
        </w:rPr>
      </w:pPr>
    </w:p>
    <w:p>
      <w:pPr>
        <w:pStyle w:val="Heading1"/>
        <w:spacing w:before="196"/>
        <w:ind w:right="8809"/>
      </w:pPr>
      <w:r>
        <w:rPr/>
        <w:t>Ken Riordan National Manager Trade</w:t>
      </w:r>
    </w:p>
    <w:p>
      <w:pPr>
        <w:spacing w:line="236" w:lineRule="exact" w:before="0"/>
        <w:ind w:left="100" w:right="0" w:firstLine="0"/>
        <w:jc w:val="left"/>
        <w:rPr>
          <w:b/>
          <w:sz w:val="21"/>
        </w:rPr>
      </w:pPr>
      <w:r>
        <w:rPr>
          <w:b/>
          <w:sz w:val="21"/>
        </w:rPr>
        <w:t>for</w:t>
      </w:r>
    </w:p>
    <w:p>
      <w:pPr>
        <w:pStyle w:val="Heading1"/>
        <w:ind w:right="8260"/>
      </w:pPr>
      <w:r>
        <w:rPr/>
        <w:t>Chief Executive Officer November 2002</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order.gov.au/" TargetMode="External"/><Relationship Id="rId6" Type="http://schemas.openxmlformats.org/officeDocument/2006/relationships/hyperlink" Target="https://borderauthor.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2020-12-09T23:16:03Z</dcterms:created>
  <dcterms:modified xsi:type="dcterms:W3CDTF">2020-12-09T23:16:03Z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