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2003 01</w:t>
      </w:r>
    </w:p>
    <w:p>
      <w:pPr>
        <w:spacing w:before="357"/>
        <w:ind w:left="108" w:right="0" w:firstLine="0"/>
        <w:jc w:val="left"/>
        <w:rPr>
          <w:b/>
          <w:sz w:val="32"/>
        </w:rPr>
      </w:pPr>
      <w:r>
        <w:rPr>
          <w:b/>
          <w:color w:val="202020"/>
          <w:sz w:val="32"/>
        </w:rPr>
        <w:t>Goods and Services Tax: importation of goods into Australia</w:t>
      </w:r>
    </w:p>
    <w:p>
      <w:pPr>
        <w:pStyle w:val="BodyText"/>
        <w:spacing w:line="237" w:lineRule="auto" w:before="256"/>
        <w:ind w:left="108" w:right="293"/>
      </w:pPr>
      <w:r>
        <w:rPr/>
        <w:t>The Australian </w:t>
      </w:r>
      <w:r>
        <w:rPr>
          <w:spacing w:val="-3"/>
        </w:rPr>
        <w:t>Taxation </w:t>
      </w:r>
      <w:r>
        <w:rPr/>
        <w:t>Office</w:t>
      </w:r>
      <w:r>
        <w:rPr>
          <w:spacing w:val="-4"/>
        </w:rPr>
        <w:t> (ATO) </w:t>
      </w:r>
      <w:r>
        <w:rPr/>
        <w:t>has released a Draft Goods and Services </w:t>
      </w:r>
      <w:r>
        <w:rPr>
          <w:spacing w:val="-7"/>
        </w:rPr>
        <w:t>Tax </w:t>
      </w:r>
      <w:r>
        <w:rPr/>
        <w:t>Ruling on the importation of goods into Australia (GSTR 2002/D11). The ruling is a draft for industry, professional and community comment.</w:t>
      </w:r>
    </w:p>
    <w:p>
      <w:pPr>
        <w:pStyle w:val="BodyText"/>
        <w:spacing w:before="6"/>
        <w:rPr>
          <w:sz w:val="16"/>
        </w:rPr>
      </w:pPr>
    </w:p>
    <w:p>
      <w:pPr>
        <w:pStyle w:val="BodyText"/>
        <w:spacing w:line="237" w:lineRule="auto"/>
        <w:ind w:left="108" w:right="252"/>
      </w:pPr>
      <w:r>
        <w:rPr/>
        <w:t>The draft ruling explains who is liable to pay GST on taxable importations, how GST is paid, who is entitled to claim input tax credits for creditable importations and addresses a number of related issues.</w:t>
      </w:r>
    </w:p>
    <w:p>
      <w:pPr>
        <w:pStyle w:val="BodyText"/>
        <w:spacing w:before="4"/>
        <w:rPr>
          <w:sz w:val="16"/>
        </w:rPr>
      </w:pPr>
    </w:p>
    <w:p>
      <w:pPr>
        <w:pStyle w:val="BodyText"/>
        <w:ind w:left="108"/>
      </w:pPr>
      <w:r>
        <w:rPr/>
        <w:t>The draft ruling outlines the ATO's view of GST law as it relates to various importing arrangements.</w:t>
      </w:r>
    </w:p>
    <w:p>
      <w:pPr>
        <w:pStyle w:val="BodyText"/>
        <w:spacing w:before="5"/>
        <w:rPr>
          <w:sz w:val="16"/>
        </w:rPr>
      </w:pPr>
    </w:p>
    <w:p>
      <w:pPr>
        <w:pStyle w:val="BodyText"/>
        <w:spacing w:line="237" w:lineRule="auto"/>
        <w:ind w:left="108" w:right="283"/>
      </w:pPr>
      <w:r>
        <w:rPr/>
        <w:t>Because of its implications for current GST aspects of importing arrangements, importers and brokers are encouraged to read and consider the draft ruling. It can be accessed from the ATO Internet site at </w:t>
      </w:r>
      <w:hyperlink r:id="rId5">
        <w:r>
          <w:rPr/>
          <w:t>http://law.taxreform.ato.gov.au.</w:t>
        </w:r>
      </w:hyperlink>
    </w:p>
    <w:p>
      <w:pPr>
        <w:pStyle w:val="BodyText"/>
        <w:spacing w:before="4"/>
        <w:rPr>
          <w:sz w:val="16"/>
        </w:rPr>
      </w:pPr>
    </w:p>
    <w:p>
      <w:pPr>
        <w:pStyle w:val="BodyText"/>
        <w:ind w:left="108"/>
      </w:pPr>
      <w:r>
        <w:rPr/>
        <w:t>The ATO has set a deadline of 7 February 2003 for comments on the draft ruling. Comments should be directed to:</w:t>
      </w:r>
    </w:p>
    <w:p>
      <w:pPr>
        <w:pStyle w:val="BodyText"/>
        <w:spacing w:before="5" w:after="1"/>
        <w:rPr>
          <w:sz w:val="16"/>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80"/>
        <w:gridCol w:w="10512"/>
      </w:tblGrid>
      <w:tr>
        <w:trPr>
          <w:trHeight w:val="1459" w:hRule="atLeast"/>
        </w:trPr>
        <w:tc>
          <w:tcPr>
            <w:tcW w:w="5080" w:type="dxa"/>
            <w:tcBorders>
              <w:top w:val="single" w:sz="6" w:space="0" w:color="C8C8C8"/>
              <w:bottom w:val="single" w:sz="6" w:space="0" w:color="C8C8C8"/>
              <w:right w:val="single" w:sz="6" w:space="0" w:color="C8C8C8"/>
            </w:tcBorders>
          </w:tcPr>
          <w:p>
            <w:pPr>
              <w:pStyle w:val="TableParagraph"/>
              <w:spacing w:line="240" w:lineRule="auto" w:before="91"/>
              <w:ind w:left="101"/>
              <w:rPr>
                <w:sz w:val="19"/>
              </w:rPr>
            </w:pPr>
            <w:r>
              <w:rPr>
                <w:color w:val="202020"/>
                <w:sz w:val="19"/>
              </w:rPr>
              <w:t>Contact Officer:</w:t>
            </w:r>
          </w:p>
        </w:tc>
        <w:tc>
          <w:tcPr>
            <w:tcW w:w="10512" w:type="dxa"/>
            <w:tcBorders>
              <w:top w:val="single" w:sz="6" w:space="0" w:color="C8C8C8"/>
              <w:left w:val="single" w:sz="6" w:space="0" w:color="C8C8C8"/>
              <w:bottom w:val="single" w:sz="6" w:space="0" w:color="C8C8C8"/>
            </w:tcBorders>
          </w:tcPr>
          <w:p>
            <w:pPr>
              <w:pStyle w:val="TableParagraph"/>
              <w:spacing w:line="217" w:lineRule="exact" w:before="91"/>
              <w:rPr>
                <w:sz w:val="19"/>
              </w:rPr>
            </w:pPr>
            <w:r>
              <w:rPr>
                <w:color w:val="202020"/>
                <w:sz w:val="19"/>
              </w:rPr>
              <w:t>Jamie Kaden</w:t>
            </w:r>
          </w:p>
          <w:p>
            <w:pPr>
              <w:pStyle w:val="TableParagraph"/>
              <w:spacing w:line="237" w:lineRule="auto" w:before="1"/>
              <w:ind w:right="7826"/>
              <w:rPr>
                <w:sz w:val="19"/>
              </w:rPr>
            </w:pPr>
            <w:r>
              <w:rPr>
                <w:color w:val="202020"/>
                <w:sz w:val="19"/>
              </w:rPr>
              <w:t>Australian Taxation Office GPO Box 920</w:t>
            </w:r>
          </w:p>
          <w:p>
            <w:pPr>
              <w:pStyle w:val="TableParagraph"/>
              <w:spacing w:line="217" w:lineRule="exact"/>
              <w:rPr>
                <w:sz w:val="19"/>
              </w:rPr>
            </w:pPr>
            <w:r>
              <w:rPr>
                <w:color w:val="202020"/>
                <w:sz w:val="19"/>
              </w:rPr>
              <w:t>Brisbane 4001</w:t>
            </w:r>
          </w:p>
        </w:tc>
      </w:tr>
      <w:tr>
        <w:trPr>
          <w:trHeight w:val="312" w:hRule="atLeast"/>
        </w:trPr>
        <w:tc>
          <w:tcPr>
            <w:tcW w:w="5080" w:type="dxa"/>
            <w:tcBorders>
              <w:top w:val="single" w:sz="6" w:space="0" w:color="C8C8C8"/>
              <w:right w:val="single" w:sz="6" w:space="0" w:color="C8C8C8"/>
            </w:tcBorders>
          </w:tcPr>
          <w:p>
            <w:pPr>
              <w:pStyle w:val="TableParagraph"/>
              <w:spacing w:line="201" w:lineRule="exact" w:before="91"/>
              <w:ind w:left="101"/>
              <w:rPr>
                <w:sz w:val="19"/>
              </w:rPr>
            </w:pPr>
            <w:r>
              <w:rPr>
                <w:color w:val="202020"/>
                <w:sz w:val="19"/>
              </w:rPr>
              <w:t>Telephone:</w:t>
            </w:r>
          </w:p>
        </w:tc>
        <w:tc>
          <w:tcPr>
            <w:tcW w:w="10512" w:type="dxa"/>
            <w:tcBorders>
              <w:top w:val="single" w:sz="6" w:space="0" w:color="C8C8C8"/>
              <w:left w:val="single" w:sz="6" w:space="0" w:color="C8C8C8"/>
            </w:tcBorders>
          </w:tcPr>
          <w:p>
            <w:pPr>
              <w:pStyle w:val="TableParagraph"/>
              <w:spacing w:line="201" w:lineRule="exact" w:before="91"/>
              <w:rPr>
                <w:sz w:val="19"/>
              </w:rPr>
            </w:pPr>
            <w:r>
              <w:rPr>
                <w:color w:val="202020"/>
                <w:sz w:val="19"/>
              </w:rPr>
              <w:t>(07) 3213 5788</w:t>
            </w:r>
          </w:p>
        </w:tc>
      </w:tr>
      <w:tr>
        <w:trPr>
          <w:trHeight w:val="216" w:hRule="atLeast"/>
        </w:trPr>
        <w:tc>
          <w:tcPr>
            <w:tcW w:w="5080" w:type="dxa"/>
            <w:tcBorders>
              <w:right w:val="single" w:sz="6" w:space="0" w:color="C8C8C8"/>
            </w:tcBorders>
          </w:tcPr>
          <w:p>
            <w:pPr>
              <w:pStyle w:val="TableParagraph"/>
              <w:ind w:left="101"/>
              <w:rPr>
                <w:sz w:val="19"/>
              </w:rPr>
            </w:pPr>
            <w:r>
              <w:rPr>
                <w:color w:val="202020"/>
                <w:sz w:val="19"/>
              </w:rPr>
              <w:t>Facsimile:</w:t>
            </w:r>
          </w:p>
        </w:tc>
        <w:tc>
          <w:tcPr>
            <w:tcW w:w="10512" w:type="dxa"/>
            <w:tcBorders>
              <w:left w:val="single" w:sz="6" w:space="0" w:color="C8C8C8"/>
            </w:tcBorders>
          </w:tcPr>
          <w:p>
            <w:pPr>
              <w:pStyle w:val="TableParagraph"/>
              <w:rPr>
                <w:sz w:val="19"/>
              </w:rPr>
            </w:pPr>
            <w:r>
              <w:rPr>
                <w:color w:val="202020"/>
                <w:sz w:val="19"/>
              </w:rPr>
              <w:t>(07) 3213 5055</w:t>
            </w:r>
          </w:p>
        </w:tc>
      </w:tr>
      <w:tr>
        <w:trPr>
          <w:trHeight w:val="308" w:hRule="atLeast"/>
        </w:trPr>
        <w:tc>
          <w:tcPr>
            <w:tcW w:w="5080" w:type="dxa"/>
            <w:tcBorders>
              <w:bottom w:val="single" w:sz="6" w:space="0" w:color="C8C8C8"/>
              <w:right w:val="single" w:sz="6" w:space="0" w:color="C8C8C8"/>
            </w:tcBorders>
          </w:tcPr>
          <w:p>
            <w:pPr>
              <w:pStyle w:val="TableParagraph"/>
              <w:spacing w:line="214" w:lineRule="exact"/>
              <w:ind w:left="101"/>
              <w:rPr>
                <w:sz w:val="19"/>
              </w:rPr>
            </w:pPr>
            <w:r>
              <w:rPr>
                <w:color w:val="202020"/>
                <w:sz w:val="19"/>
              </w:rPr>
              <w:t>Email:</w:t>
            </w:r>
          </w:p>
        </w:tc>
        <w:tc>
          <w:tcPr>
            <w:tcW w:w="10512" w:type="dxa"/>
            <w:tcBorders>
              <w:left w:val="single" w:sz="6" w:space="0" w:color="C8C8C8"/>
              <w:bottom w:val="single" w:sz="6" w:space="0" w:color="C8C8C8"/>
            </w:tcBorders>
          </w:tcPr>
          <w:p>
            <w:pPr>
              <w:pStyle w:val="TableParagraph"/>
              <w:spacing w:line="214" w:lineRule="exact"/>
              <w:rPr>
                <w:sz w:val="19"/>
              </w:rPr>
            </w:pPr>
            <w:hyperlink r:id="rId6">
              <w:r>
                <w:rPr>
                  <w:color w:val="0F64C7"/>
                  <w:sz w:val="19"/>
                </w:rPr>
                <w:t>Jamie.Kaden@ato.gov.au</w:t>
              </w:r>
            </w:hyperlink>
          </w:p>
        </w:tc>
      </w:tr>
    </w:tbl>
    <w:p>
      <w:pPr>
        <w:pStyle w:val="BodyText"/>
        <w:rPr>
          <w:sz w:val="20"/>
        </w:rPr>
      </w:pPr>
    </w:p>
    <w:p>
      <w:pPr>
        <w:spacing w:line="237" w:lineRule="auto" w:before="175"/>
        <w:ind w:left="108" w:right="13599" w:firstLine="0"/>
        <w:jc w:val="left"/>
        <w:rPr>
          <w:b/>
          <w:sz w:val="19"/>
        </w:rPr>
      </w:pPr>
      <w:r>
        <w:rPr>
          <w:b/>
          <w:sz w:val="19"/>
        </w:rPr>
        <w:t>Philomena Carnell National Manager Cargo Branch</w:t>
      </w:r>
    </w:p>
    <w:p>
      <w:pPr>
        <w:spacing w:line="217" w:lineRule="exact" w:before="0"/>
        <w:ind w:left="108" w:right="0" w:firstLine="0"/>
        <w:jc w:val="left"/>
        <w:rPr>
          <w:b/>
          <w:sz w:val="19"/>
        </w:rPr>
      </w:pPr>
      <w:r>
        <w:rPr>
          <w:b/>
          <w:sz w:val="19"/>
        </w:rPr>
        <w:t>14 January 2003</w:t>
      </w:r>
    </w:p>
    <w:sectPr>
      <w:type w:val="continuous"/>
      <w:pgSz w:w="16840" w:h="11900" w:orient="landscape"/>
      <w:pgMar w:top="68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196" w:lineRule="exact"/>
      <w:ind w:left="1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law.taxreform.ato.gov.au/" TargetMode="External"/><Relationship Id="rId6" Type="http://schemas.openxmlformats.org/officeDocument/2006/relationships/hyperlink" Target="mailto:Jamie.Kaden@ato.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2020-12-09T22:19:40Z</dcterms:created>
  <dcterms:modified xsi:type="dcterms:W3CDTF">2020-12-09T22:19:40Z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