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3"/>
        <w:rPr>
          <w:sz w:val="20"/>
        </w:rPr>
      </w:pPr>
      <w:r>
        <w:rPr>
          <w:sz w:val="20"/>
        </w:rPr>
        <w:drawing>
          <wp:inline distT="0" distB="0" distL="0" distR="0">
            <wp:extent cx="2096054" cy="9235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05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Title"/>
        <w:ind w:left="1259" w:right="1252"/>
        <w:jc w:val="center"/>
      </w:pPr>
      <w:r>
        <w:rPr/>
        <w:t>AUSTRALIAN CUSTOMS NOTICE NO. 2003/22</w:t>
      </w:r>
    </w:p>
    <w:p>
      <w:pPr>
        <w:pStyle w:val="BodyText"/>
        <w:spacing w:before="6"/>
        <w:rPr>
          <w:b/>
        </w:rPr>
      </w:pPr>
      <w:r>
        <w:rPr/>
        <w:pict>
          <v:rect style="position:absolute;margin-left:88.5pt;margin-top:16.084492pt;width:418.32pt;height:1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b/>
          <w:sz w:val="17"/>
        </w:rPr>
      </w:pPr>
    </w:p>
    <w:p>
      <w:pPr>
        <w:pStyle w:val="Title"/>
      </w:pPr>
      <w:r>
        <w:rPr/>
        <w:t>Customs Tariff Proposal No. 1 (2003) - paraquat dichloride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39" w:right="455"/>
      </w:pPr>
      <w:r>
        <w:rPr/>
        <w:t>Customs Tariff Proposal No. 1 (2003) was tabled in Parliament on 27 March 2003. The Proposal inserts a new Additional Note (Additional Note 2) to Chapter 29 of Schedule 3 of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</w:pPr>
    </w:p>
    <w:p>
      <w:pPr>
        <w:pStyle w:val="BodyText"/>
        <w:ind w:left="139" w:right="116"/>
      </w:pPr>
      <w:r>
        <w:rPr/>
        <w:t>This Note allows the chemical “paraquat dichloride” with an added emetic for safety reasons to be classified in subheading 2933.39.00, which attracts a rate of duty of free.</w:t>
      </w:r>
    </w:p>
    <w:p>
      <w:pPr>
        <w:pStyle w:val="BodyText"/>
      </w:pPr>
    </w:p>
    <w:p>
      <w:pPr>
        <w:pStyle w:val="BodyText"/>
        <w:ind w:left="139" w:right="123"/>
      </w:pPr>
      <w:r>
        <w:rPr/>
        <w:t>The insertion of this Note corrects an anomaly in the Tariff whereby paraquat dichloride with an added emetic is classified in Chapter 38 where it attracts a duty rate of five per cent.</w:t>
      </w:r>
    </w:p>
    <w:p>
      <w:pPr>
        <w:pStyle w:val="BodyText"/>
      </w:pPr>
    </w:p>
    <w:p>
      <w:pPr>
        <w:pStyle w:val="BodyText"/>
        <w:ind w:left="139"/>
      </w:pPr>
      <w:r>
        <w:rPr/>
        <w:t>This change takes effect from 1 April 2003.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39"/>
      </w:pPr>
      <w:r>
        <w:rPr/>
        <w:t>Tariff reprint page Chapter 29/5 (R.2) will be issued to reflect this change.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39" w:right="435"/>
      </w:pPr>
      <w:r>
        <w:rPr/>
        <w:t>Any queries relating to Customs Tariff Proposal No. 1 (2003) should be directed to Manager, Tariff Legislation and External Review on (02) 6275 6486.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39" w:right="6681"/>
      </w:pPr>
      <w:r>
        <w:rPr/>
        <w:t>Ken Riordan National Manager Trade</w:t>
      </w:r>
    </w:p>
    <w:p>
      <w:pPr>
        <w:pStyle w:val="BodyText"/>
        <w:ind w:left="139"/>
      </w:pPr>
      <w:r>
        <w:rPr/>
        <w:t>For</w:t>
      </w:r>
    </w:p>
    <w:p>
      <w:pPr>
        <w:pStyle w:val="BodyText"/>
        <w:spacing w:line="480" w:lineRule="auto"/>
        <w:ind w:left="678" w:right="6115" w:hanging="539"/>
      </w:pPr>
      <w:r>
        <w:rPr/>
        <w:t>Chief Executive Officer March 2003</w:t>
      </w:r>
    </w:p>
    <w:sectPr>
      <w:type w:val="continuous"/>
      <w:pgSz w:w="11900" w:h="16840"/>
      <w:pgMar w:top="144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750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acn0322</dc:title>
  <dcterms:created xsi:type="dcterms:W3CDTF">2020-12-09T23:06:19Z</dcterms:created>
  <dcterms:modified xsi:type="dcterms:W3CDTF">2020-12-09T23:06:19Z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