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42"/>
        <w:rPr>
          <w:sz w:val="20"/>
        </w:rPr>
      </w:pPr>
      <w:r>
        <w:rPr>
          <w:sz w:val="20"/>
        </w:rPr>
        <w:drawing>
          <wp:inline distT="0" distB="0" distL="0" distR="0">
            <wp:extent cx="2072597" cy="914400"/>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072597" cy="914400"/>
                    </a:xfrm>
                    <a:prstGeom prst="rect">
                      <a:avLst/>
                    </a:prstGeom>
                  </pic:spPr>
                </pic:pic>
              </a:graphicData>
            </a:graphic>
          </wp:inline>
        </w:drawing>
      </w:r>
      <w:r>
        <w:rPr>
          <w:sz w:val="20"/>
        </w:rPr>
      </w:r>
    </w:p>
    <w:p>
      <w:pPr>
        <w:pStyle w:val="BodyText"/>
        <w:spacing w:before="3"/>
      </w:pPr>
    </w:p>
    <w:p>
      <w:pPr>
        <w:pStyle w:val="Title"/>
        <w:ind w:left="1335" w:right="1276" w:firstLine="0"/>
        <w:jc w:val="center"/>
      </w:pPr>
      <w:r>
        <w:rPr/>
        <w:t>AUSTRALIAN CUSTOMS NOTICE NO. 2003/43</w:t>
      </w:r>
    </w:p>
    <w:p>
      <w:pPr>
        <w:pStyle w:val="BodyText"/>
        <w:spacing w:before="8"/>
        <w:rPr>
          <w:b/>
          <w:sz w:val="8"/>
        </w:rPr>
      </w:pPr>
      <w:r>
        <w:rPr/>
        <w:pict>
          <v:rect style="position:absolute;margin-left:88.5pt;margin-top:6.952539pt;width:426pt;height:.72pt;mso-position-horizontal-relative:page;mso-position-vertical-relative:paragraph;z-index:-15728640;mso-wrap-distance-left:0;mso-wrap-distance-right:0" filled="true" fillcolor="#000000" stroked="false">
            <v:fill type="solid"/>
            <w10:wrap type="topAndBottom"/>
          </v:rect>
        </w:pict>
      </w:r>
    </w:p>
    <w:p>
      <w:pPr>
        <w:pStyle w:val="BodyText"/>
        <w:spacing w:before="9"/>
        <w:rPr>
          <w:b/>
          <w:sz w:val="13"/>
        </w:rPr>
      </w:pPr>
    </w:p>
    <w:p>
      <w:pPr>
        <w:pStyle w:val="Title"/>
      </w:pPr>
      <w:r>
        <w:rPr/>
        <w:t>Amendments to the Customs (Prohibited Imports) Regulations 1956 and Customs (Prohibited Exports) Regulations 1958</w:t>
      </w:r>
    </w:p>
    <w:p>
      <w:pPr>
        <w:pStyle w:val="BodyText"/>
        <w:spacing w:before="9"/>
        <w:rPr>
          <w:b/>
          <w:sz w:val="23"/>
        </w:rPr>
      </w:pPr>
    </w:p>
    <w:p>
      <w:pPr>
        <w:spacing w:before="0"/>
        <w:ind w:left="139" w:right="162" w:firstLine="0"/>
        <w:jc w:val="left"/>
        <w:rPr>
          <w:sz w:val="24"/>
        </w:rPr>
      </w:pPr>
      <w:r>
        <w:rPr>
          <w:sz w:val="24"/>
        </w:rPr>
        <w:t>The following amendments to the </w:t>
      </w:r>
      <w:r>
        <w:rPr>
          <w:i/>
          <w:sz w:val="24"/>
        </w:rPr>
        <w:t>Customs (Prohibited Imports) Regulations 1956 </w:t>
      </w:r>
      <w:r>
        <w:rPr>
          <w:sz w:val="24"/>
        </w:rPr>
        <w:t>(the Prohibited Imports Regulations) and </w:t>
      </w:r>
      <w:r>
        <w:rPr>
          <w:i/>
          <w:sz w:val="24"/>
        </w:rPr>
        <w:t>Customs (Prohibited Exports) Regulations 1956 </w:t>
      </w:r>
      <w:r>
        <w:rPr>
          <w:sz w:val="24"/>
        </w:rPr>
        <w:t>(the Prohibited Exports Regulations) relating to Iraq and East Timor commenced on gazettal on 29 May 2003 and 22 May 2003 respectively.</w:t>
      </w:r>
    </w:p>
    <w:p>
      <w:pPr>
        <w:pStyle w:val="BodyText"/>
        <w:spacing w:before="2"/>
      </w:pPr>
    </w:p>
    <w:p>
      <w:pPr>
        <w:pStyle w:val="Heading1"/>
      </w:pPr>
      <w:r>
        <w:rPr/>
        <w:t>Amendment of sanctions against Iraq</w:t>
      </w:r>
    </w:p>
    <w:p>
      <w:pPr>
        <w:pStyle w:val="BodyText"/>
        <w:spacing w:before="9"/>
        <w:rPr>
          <w:b/>
          <w:sz w:val="23"/>
        </w:rPr>
      </w:pPr>
    </w:p>
    <w:p>
      <w:pPr>
        <w:pStyle w:val="BodyText"/>
        <w:spacing w:before="1"/>
        <w:ind w:left="139" w:right="155"/>
      </w:pPr>
      <w:r>
        <w:rPr/>
        <w:t>The United Nations Security Council (UNSC) adopted Resolution 1483 (2003) terminating all prohibitions relating to trade with Iraq established by UNSC Resolution 661 (of 1990) and subsequent resolutions, with the exemption explained below.</w:t>
      </w:r>
    </w:p>
    <w:p>
      <w:pPr>
        <w:pStyle w:val="BodyText"/>
        <w:spacing w:before="10"/>
        <w:rPr>
          <w:sz w:val="23"/>
        </w:rPr>
      </w:pPr>
    </w:p>
    <w:p>
      <w:pPr>
        <w:pStyle w:val="BodyText"/>
        <w:ind w:left="139" w:right="115"/>
      </w:pPr>
      <w:r>
        <w:rPr/>
        <w:t>As a result, regulation 4QA of the Prohibited Imports Regulations and regulation 13CA of the Prohibited Exports Regulations were repealed on Thursday 29 May 2003.</w:t>
      </w:r>
    </w:p>
    <w:p>
      <w:pPr>
        <w:pStyle w:val="BodyText"/>
      </w:pPr>
    </w:p>
    <w:p>
      <w:pPr>
        <w:spacing w:before="0"/>
        <w:ind w:left="139" w:right="123" w:firstLine="0"/>
        <w:jc w:val="left"/>
        <w:rPr>
          <w:sz w:val="24"/>
        </w:rPr>
      </w:pPr>
      <w:r>
        <w:rPr>
          <w:sz w:val="24"/>
        </w:rPr>
        <w:t>However, </w:t>
      </w:r>
      <w:r>
        <w:rPr>
          <w:b/>
          <w:sz w:val="24"/>
        </w:rPr>
        <w:t>UNSC Resolution 1483 maintains the prohibitions related to the sale or supply to Iraq of arms and related materiel </w:t>
      </w:r>
      <w:r>
        <w:rPr>
          <w:sz w:val="24"/>
        </w:rPr>
        <w:t>but gives an exemption to items required by the Coalition in Iraq. For more information on the control of defence exports, contact the Defence Trade Controls and Compliance Section of the Department of Defence on (02) 6266 2586 or at </w:t>
      </w:r>
      <w:hyperlink r:id="rId6">
        <w:r>
          <w:rPr>
            <w:sz w:val="24"/>
            <w:u w:val="single"/>
          </w:rPr>
          <w:t>dtcc@defence.gov.au</w:t>
        </w:r>
      </w:hyperlink>
      <w:r>
        <w:rPr>
          <w:sz w:val="24"/>
        </w:rPr>
        <w:t>.</w:t>
      </w:r>
    </w:p>
    <w:p>
      <w:pPr>
        <w:pStyle w:val="BodyText"/>
        <w:spacing w:before="2"/>
      </w:pPr>
    </w:p>
    <w:p>
      <w:pPr>
        <w:pStyle w:val="Heading1"/>
        <w:spacing w:before="1"/>
      </w:pPr>
      <w:r>
        <w:rPr/>
        <w:t>Amendment of controls on movement of arms and related materiel to East Timor</w:t>
      </w:r>
    </w:p>
    <w:p>
      <w:pPr>
        <w:pStyle w:val="BodyText"/>
        <w:spacing w:before="9"/>
        <w:rPr>
          <w:b/>
          <w:sz w:val="23"/>
        </w:rPr>
      </w:pPr>
    </w:p>
    <w:p>
      <w:pPr>
        <w:pStyle w:val="BodyText"/>
        <w:ind w:left="139" w:right="89"/>
      </w:pPr>
      <w:r>
        <w:rPr/>
        <w:t>Regulations 3A and 3B of the Prohibited Imports Regulations and regulation 13E of the Prohibited Exports Regulations have been updated to exempt certain goods owned by a defence force or a police force of a country contributing to the multinational force aiding East Timor in accordance with UNSC Resolution 1410 (2002).</w:t>
      </w:r>
    </w:p>
    <w:p>
      <w:pPr>
        <w:pStyle w:val="BodyText"/>
      </w:pPr>
    </w:p>
    <w:p>
      <w:pPr>
        <w:pStyle w:val="BodyText"/>
        <w:ind w:left="139" w:right="136"/>
      </w:pPr>
      <w:r>
        <w:rPr/>
        <w:t>These amendments exempt defence and police forces of countries contributing to the multinational force from the requirements contained in the Customs Prohibited Imports Regulations and the Customs Prohibited Exports Regulations relating to arms, ammunition and related materiel.</w:t>
      </w:r>
    </w:p>
    <w:p>
      <w:pPr>
        <w:pStyle w:val="BodyText"/>
      </w:pPr>
    </w:p>
    <w:p>
      <w:pPr>
        <w:pStyle w:val="BodyText"/>
        <w:ind w:left="139"/>
      </w:pPr>
      <w:r>
        <w:rPr/>
        <w:t>For further information contact the Weapons and Strategic Goods on (02) 6275 6189.</w:t>
      </w:r>
    </w:p>
    <w:p>
      <w:pPr>
        <w:pStyle w:val="BodyText"/>
        <w:rPr>
          <w:sz w:val="26"/>
        </w:rPr>
      </w:pPr>
    </w:p>
    <w:p>
      <w:pPr>
        <w:pStyle w:val="BodyText"/>
        <w:rPr>
          <w:sz w:val="26"/>
        </w:rPr>
      </w:pPr>
    </w:p>
    <w:p>
      <w:pPr>
        <w:pStyle w:val="BodyText"/>
        <w:spacing w:before="230"/>
        <w:ind w:left="139" w:right="6744"/>
        <w:jc w:val="both"/>
      </w:pPr>
      <w:r>
        <w:rPr/>
        <w:t>Philomena Carnell National Manager Cargo Branch</w:t>
      </w:r>
    </w:p>
    <w:p>
      <w:pPr>
        <w:pStyle w:val="BodyText"/>
        <w:ind w:left="139"/>
      </w:pPr>
      <w:r>
        <w:rPr/>
        <w:t>For</w:t>
      </w:r>
    </w:p>
    <w:p>
      <w:pPr>
        <w:pStyle w:val="BodyText"/>
        <w:ind w:left="380" w:right="5781" w:hanging="240"/>
      </w:pPr>
      <w:r>
        <w:rPr/>
        <w:t>The Chief Executive Officer June 2003</w:t>
      </w:r>
    </w:p>
    <w:sectPr>
      <w:type w:val="continuous"/>
      <w:pgSz w:w="11900" w:h="16840"/>
      <w:pgMar w:top="1080" w:bottom="280" w:left="1660" w:right="156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Heading1" w:type="paragraph">
    <w:name w:val="Heading 1"/>
    <w:basedOn w:val="Normal"/>
    <w:uiPriority w:val="1"/>
    <w:qFormat/>
    <w:pPr>
      <w:ind w:left="139"/>
      <w:outlineLvl w:val="1"/>
    </w:pPr>
    <w:rPr>
      <w:rFonts w:ascii="Times New Roman" w:hAnsi="Times New Roman" w:eastAsia="Times New Roman" w:cs="Times New Roman"/>
      <w:b/>
      <w:bCs/>
      <w:sz w:val="24"/>
      <w:szCs w:val="24"/>
    </w:rPr>
  </w:style>
  <w:style w:styleId="Title" w:type="paragraph">
    <w:name w:val="Title"/>
    <w:basedOn w:val="Normal"/>
    <w:uiPriority w:val="1"/>
    <w:qFormat/>
    <w:pPr>
      <w:spacing w:before="88"/>
      <w:ind w:left="1253" w:right="227" w:hanging="948"/>
    </w:pPr>
    <w:rPr>
      <w:rFonts w:ascii="Times New Roman" w:hAnsi="Times New Roman" w:eastAsia="Times New Roman" w:cs="Times New Roman"/>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mailto:dtcc@defence.gov.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ACN 2003/43</dc:title>
  <dcterms:created xsi:type="dcterms:W3CDTF">2020-12-09T22:56:14Z</dcterms:created>
  <dcterms:modified xsi:type="dcterms:W3CDTF">2020-12-09T22:56:14Z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2003-06-10T00:00:00Z</vt:filetime>
  </property>
  <property fmtid="{D5CDD505-2E9C-101B-9397-08002B2CF9AE}" pid="3" name="Creator">
    <vt:lpwstr>PScript5.dll Version 5.2</vt:lpwstr>
  </property>
  <property fmtid="{D5CDD505-2E9C-101B-9397-08002B2CF9AE}" pid="4" name="LastSaved">
    <vt:filetime>2020-12-09T00:00:00Z</vt:filetime>
  </property>
</Properties>
</file>