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7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860636" cy="70713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636" cy="7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before="220" w:after="19"/>
      </w:pPr>
      <w:r>
        <w:rPr/>
        <w:t>AUSTRALIAN CUSTOMS NOTICE NO. 2003/68</w:t>
      </w:r>
    </w:p>
    <w:p>
      <w:pPr>
        <w:pStyle w:val="BodyText"/>
        <w:spacing w:line="20" w:lineRule="exact"/>
        <w:ind w:left="488"/>
        <w:rPr>
          <w:sz w:val="2"/>
        </w:rPr>
      </w:pPr>
      <w:r>
        <w:rPr>
          <w:sz w:val="2"/>
        </w:rPr>
        <w:pict>
          <v:group style="width:462.85pt;height:.75pt;mso-position-horizontal-relative:char;mso-position-vertical-relative:line" coordorigin="0,0" coordsize="9257,15">
            <v:rect style="position:absolute;left:0;top:0;width:9257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sz w:val="27"/>
        </w:rPr>
      </w:pPr>
    </w:p>
    <w:p>
      <w:pPr>
        <w:pStyle w:val="Title"/>
        <w:ind w:right="1703"/>
      </w:pPr>
      <w:r>
        <w:rPr/>
        <w:t>Revocation of unnecessary Tariff Concession Orders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518"/>
      </w:pPr>
      <w:r>
        <w:rPr/>
        <w:t>The purpose of this notice is to advise that the Australian Customs Service (Customs)</w:t>
      </w:r>
    </w:p>
    <w:p>
      <w:pPr>
        <w:pStyle w:val="BodyText"/>
        <w:ind w:left="518" w:right="1116"/>
      </w:pPr>
      <w:r>
        <w:rPr/>
        <w:t>is migrating Tariff Concession Orders (TCOs) to a new computer system as part of release 3 of the Cargo Management Re-Engineering Project.</w:t>
      </w:r>
    </w:p>
    <w:p>
      <w:pPr>
        <w:pStyle w:val="BodyText"/>
        <w:spacing w:before="1"/>
      </w:pPr>
    </w:p>
    <w:p>
      <w:pPr>
        <w:pStyle w:val="BodyText"/>
        <w:ind w:left="518" w:right="696"/>
      </w:pPr>
      <w:r>
        <w:rPr/>
        <w:t>Prior to the migration of data, Customs will be reviewing all TCOs and will be revoking any unnecessary TCOs. A TCO is considered to be unnecessary if the goods covered by that TCO can be imported under another, more recent TCO. Quite often, the more recent TCO covers a broader range of</w:t>
      </w:r>
      <w:r>
        <w:rPr>
          <w:spacing w:val="-30"/>
        </w:rPr>
        <w:t> </w:t>
      </w:r>
      <w:r>
        <w:rPr/>
        <w:t>goods.</w:t>
      </w:r>
    </w:p>
    <w:p>
      <w:pPr>
        <w:pStyle w:val="BodyText"/>
        <w:spacing w:before="2"/>
      </w:pPr>
    </w:p>
    <w:p>
      <w:pPr>
        <w:pStyle w:val="BodyText"/>
        <w:ind w:left="517" w:right="674"/>
        <w:jc w:val="both"/>
      </w:pPr>
      <w:r>
        <w:rPr/>
        <w:t>The TCOs to be revoked will be published in the </w:t>
      </w:r>
      <w:r>
        <w:rPr>
          <w:i/>
        </w:rPr>
        <w:t>Gazette </w:t>
      </w:r>
      <w:r>
        <w:rPr/>
        <w:t>at least 28 days before revocation. The notice in the </w:t>
      </w:r>
      <w:r>
        <w:rPr>
          <w:i/>
        </w:rPr>
        <w:t>Gazette </w:t>
      </w:r>
      <w:r>
        <w:rPr/>
        <w:t>will include details of the (more recent) TCO that should be used following the revocation action.</w:t>
      </w:r>
    </w:p>
    <w:p>
      <w:pPr>
        <w:pStyle w:val="BodyText"/>
        <w:spacing w:before="2"/>
      </w:pPr>
    </w:p>
    <w:p>
      <w:pPr>
        <w:pStyle w:val="BodyText"/>
        <w:ind w:left="517"/>
        <w:jc w:val="both"/>
      </w:pPr>
      <w:r>
        <w:rPr/>
        <w:t>The process of reviewing and revoking unnecessary TCOs will be ongoing.</w:t>
      </w:r>
    </w:p>
    <w:p>
      <w:pPr>
        <w:pStyle w:val="BodyText"/>
      </w:pPr>
    </w:p>
    <w:p>
      <w:pPr>
        <w:pStyle w:val="BodyText"/>
        <w:spacing w:before="1"/>
        <w:ind w:left="517" w:right="667"/>
      </w:pPr>
      <w:r>
        <w:rPr/>
        <w:t>Importers and customs brokers will not be disadvantaged by the revocation action, as TCOs will continue to apply to the same range of goods. Before attempting to use a TCO, an importer or customs broker should check the list of concessional instruments to ensure that the TCO still exists.</w:t>
      </w:r>
    </w:p>
    <w:p>
      <w:pPr>
        <w:pStyle w:val="BodyText"/>
        <w:spacing w:before="1"/>
      </w:pPr>
    </w:p>
    <w:p>
      <w:pPr>
        <w:pStyle w:val="BodyText"/>
        <w:ind w:left="517" w:right="681"/>
        <w:jc w:val="both"/>
      </w:pPr>
      <w:r>
        <w:rPr/>
        <w:t>Inquiries concerning this notice may be directed to the Tariff Concessions Section on telephone number (02) 6275 6489 or fax number (02) 6275 6376.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1"/>
        <w:ind w:left="517"/>
      </w:pPr>
      <w:r>
        <w:rPr/>
        <w:t>John Arndell</w:t>
      </w:r>
    </w:p>
    <w:p>
      <w:pPr>
        <w:pStyle w:val="BodyText"/>
        <w:spacing w:before="1"/>
        <w:ind w:left="517" w:right="7652"/>
      </w:pPr>
      <w:r>
        <w:rPr/>
        <w:t>Acting National Manager Trade Branch CANBERRA</w:t>
      </w:r>
      <w:r>
        <w:rPr>
          <w:spacing w:val="51"/>
        </w:rPr>
        <w:t> </w:t>
      </w:r>
      <w:r>
        <w:rPr/>
        <w:t>ACT</w:t>
      </w:r>
    </w:p>
    <w:p>
      <w:pPr>
        <w:pStyle w:val="BodyText"/>
        <w:spacing w:before="1"/>
      </w:pPr>
    </w:p>
    <w:p>
      <w:pPr>
        <w:pStyle w:val="BodyText"/>
        <w:ind w:left="738"/>
      </w:pPr>
      <w:r>
        <w:rPr/>
        <w:t>November</w:t>
      </w:r>
      <w:r>
        <w:rPr>
          <w:spacing w:val="-10"/>
        </w:rPr>
        <w:t> </w:t>
      </w:r>
      <w:r>
        <w:rPr/>
        <w:t>2003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5171004</wp:posOffset>
            </wp:positionH>
            <wp:positionV relativeFrom="paragraph">
              <wp:posOffset>131494</wp:posOffset>
            </wp:positionV>
            <wp:extent cx="1857874" cy="18002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874" cy="18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720" w:bottom="280" w:left="8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557" w:right="1702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2003/68</dc:title>
  <dcterms:created xsi:type="dcterms:W3CDTF">2020-12-09T22:51:20Z</dcterms:created>
  <dcterms:modified xsi:type="dcterms:W3CDTF">2020-12-09T22:51:20Z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2003-12-03T00:00:00Z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