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0"/>
        <w:rPr>
          <w:rFonts w:ascii="Times New Roman"/>
        </w:rPr>
      </w:pPr>
      <w:r>
        <w:rPr>
          <w:rFonts w:ascii="Times New Roman"/>
        </w:rPr>
        <w:drawing>
          <wp:inline distT="0" distB="0" distL="0" distR="0">
            <wp:extent cx="2844031" cy="72209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4031" cy="722090"/>
                    </a:xfrm>
                    <a:prstGeom prst="rect">
                      <a:avLst/>
                    </a:prstGeom>
                  </pic:spPr>
                </pic:pic>
              </a:graphicData>
            </a:graphic>
          </wp:inline>
        </w:drawing>
      </w:r>
      <w:r>
        <w:rPr>
          <w:rFonts w:ascii="Times New Roman"/>
        </w:rPr>
      </w:r>
    </w:p>
    <w:p>
      <w:pPr>
        <w:pStyle w:val="BodyText"/>
        <w:spacing w:before="5"/>
        <w:rPr>
          <w:rFonts w:ascii="Times New Roman"/>
          <w:sz w:val="23"/>
        </w:rPr>
      </w:pPr>
    </w:p>
    <w:p>
      <w:pPr>
        <w:pStyle w:val="Title"/>
        <w:spacing w:after="21"/>
        <w:ind w:right="1218"/>
        <w:jc w:val="center"/>
      </w:pPr>
      <w:r>
        <w:rPr/>
        <w:t>AUSTRALIAN CUSTOMS NOTICE NO. 2004/03</w:t>
      </w:r>
    </w:p>
    <w:p>
      <w:pPr>
        <w:pStyle w:val="BodyText"/>
        <w:spacing w:line="20" w:lineRule="exact"/>
        <w:ind w:left="110"/>
        <w:rPr>
          <w:sz w:val="2"/>
        </w:rPr>
      </w:pPr>
      <w:r>
        <w:rPr>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sz w:val="2"/>
        </w:rPr>
      </w:r>
    </w:p>
    <w:p>
      <w:pPr>
        <w:pStyle w:val="Title"/>
        <w:spacing w:before="173"/>
        <w:ind w:left="1702"/>
      </w:pPr>
      <w:r>
        <w:rPr/>
        <w:t>New Import Control on Asbestos</w:t>
      </w:r>
    </w:p>
    <w:p>
      <w:pPr>
        <w:spacing w:before="227"/>
        <w:ind w:left="140" w:right="416" w:hanging="1"/>
        <w:jc w:val="left"/>
        <w:rPr>
          <w:sz w:val="20"/>
        </w:rPr>
      </w:pPr>
      <w:r>
        <w:rPr>
          <w:sz w:val="20"/>
        </w:rPr>
        <w:t>An amendment to the </w:t>
      </w:r>
      <w:r>
        <w:rPr>
          <w:i/>
          <w:sz w:val="20"/>
        </w:rPr>
        <w:t>Customs (Prohibited Imports) Regulations 1956 </w:t>
      </w:r>
      <w:r>
        <w:rPr>
          <w:sz w:val="20"/>
        </w:rPr>
        <w:t>(the PI Regulations) commenced on 31 December 2003. Regulation 4C of the PI Regulations restricts the importation of asbestos and goods containing asbestos.</w:t>
      </w:r>
    </w:p>
    <w:p>
      <w:pPr>
        <w:pStyle w:val="BodyText"/>
      </w:pPr>
    </w:p>
    <w:p>
      <w:pPr>
        <w:spacing w:before="1"/>
        <w:ind w:left="140" w:right="0" w:firstLine="0"/>
        <w:jc w:val="left"/>
        <w:rPr>
          <w:sz w:val="20"/>
        </w:rPr>
      </w:pPr>
      <w:r>
        <w:rPr>
          <w:sz w:val="20"/>
        </w:rPr>
        <w:t>Asbestos can be divided into two categories: </w:t>
      </w:r>
      <w:r>
        <w:rPr>
          <w:b/>
          <w:sz w:val="20"/>
        </w:rPr>
        <w:t>amphibole asbestos </w:t>
      </w:r>
      <w:r>
        <w:rPr>
          <w:sz w:val="20"/>
        </w:rPr>
        <w:t>and </w:t>
      </w:r>
      <w:r>
        <w:rPr>
          <w:b/>
          <w:sz w:val="20"/>
        </w:rPr>
        <w:t>chrysotile</w:t>
      </w:r>
      <w:r>
        <w:rPr>
          <w:sz w:val="20"/>
        </w:rPr>
        <w:t>.</w:t>
      </w:r>
    </w:p>
    <w:p>
      <w:pPr>
        <w:pStyle w:val="BodyText"/>
        <w:spacing w:before="11"/>
        <w:rPr>
          <w:sz w:val="19"/>
        </w:rPr>
      </w:pPr>
    </w:p>
    <w:p>
      <w:pPr>
        <w:pStyle w:val="BodyText"/>
        <w:ind w:left="140" w:right="515"/>
      </w:pPr>
      <w:r>
        <w:rPr/>
        <w:t>Under the provisions of this control, amphibole asbestos and goods containing amphibole asbestos can only be imported under the following conditions:</w:t>
      </w:r>
    </w:p>
    <w:p>
      <w:pPr>
        <w:pStyle w:val="BodyText"/>
        <w:spacing w:before="2"/>
        <w:rPr>
          <w:sz w:val="25"/>
        </w:rPr>
      </w:pPr>
    </w:p>
    <w:p>
      <w:pPr>
        <w:pStyle w:val="ListParagraph"/>
        <w:numPr>
          <w:ilvl w:val="0"/>
          <w:numId w:val="1"/>
        </w:numPr>
        <w:tabs>
          <w:tab w:pos="861" w:val="left" w:leader="none"/>
        </w:tabs>
        <w:spacing w:line="240" w:lineRule="auto" w:before="0" w:after="0"/>
        <w:ind w:left="860" w:right="0" w:hanging="361"/>
        <w:jc w:val="left"/>
        <w:rPr>
          <w:sz w:val="20"/>
        </w:rPr>
      </w:pPr>
      <w:r>
        <w:rPr>
          <w:sz w:val="20"/>
        </w:rPr>
        <w:t>The amphibole asbestos occurs as a naturally occurring trace in a raw</w:t>
      </w:r>
      <w:r>
        <w:rPr>
          <w:spacing w:val="-14"/>
          <w:sz w:val="20"/>
        </w:rPr>
        <w:t> </w:t>
      </w:r>
      <w:r>
        <w:rPr>
          <w:sz w:val="20"/>
        </w:rPr>
        <w:t>material;</w:t>
      </w:r>
    </w:p>
    <w:p>
      <w:pPr>
        <w:pStyle w:val="ListParagraph"/>
        <w:numPr>
          <w:ilvl w:val="0"/>
          <w:numId w:val="1"/>
        </w:numPr>
        <w:tabs>
          <w:tab w:pos="861" w:val="left" w:leader="none"/>
        </w:tabs>
        <w:spacing w:line="240" w:lineRule="auto" w:before="121" w:after="0"/>
        <w:ind w:left="860" w:right="130" w:hanging="360"/>
        <w:jc w:val="both"/>
        <w:rPr>
          <w:sz w:val="20"/>
        </w:rPr>
      </w:pPr>
      <w:r>
        <w:rPr>
          <w:sz w:val="20"/>
        </w:rPr>
        <w:t>The Minister for Employment and Workplace Relations (the Minister) or a person authorised by that Minister has confirmed that he or she has granted a permission to import the amphibole asbestos or goods;</w:t>
      </w:r>
      <w:r>
        <w:rPr>
          <w:spacing w:val="-6"/>
          <w:sz w:val="20"/>
        </w:rPr>
        <w:t> </w:t>
      </w:r>
      <w:r>
        <w:rPr>
          <w:sz w:val="20"/>
        </w:rPr>
        <w:t>or</w:t>
      </w:r>
    </w:p>
    <w:p>
      <w:pPr>
        <w:pStyle w:val="ListParagraph"/>
        <w:numPr>
          <w:ilvl w:val="0"/>
          <w:numId w:val="1"/>
        </w:numPr>
        <w:tabs>
          <w:tab w:pos="861" w:val="left" w:leader="none"/>
        </w:tabs>
        <w:spacing w:line="240" w:lineRule="auto" w:before="120" w:after="0"/>
        <w:ind w:left="860" w:right="130" w:hanging="361"/>
        <w:jc w:val="both"/>
        <w:rPr>
          <w:sz w:val="20"/>
        </w:rPr>
      </w:pPr>
      <w:r>
        <w:rPr>
          <w:sz w:val="20"/>
        </w:rPr>
        <w:t>It is a hazardous waste as defined in section 4 of the </w:t>
      </w:r>
      <w:r>
        <w:rPr>
          <w:i/>
          <w:sz w:val="20"/>
        </w:rPr>
        <w:t>Hazardous Waste (Regulation of Exports and Imports) Act 1989 </w:t>
      </w:r>
      <w:r>
        <w:rPr>
          <w:sz w:val="20"/>
        </w:rPr>
        <w:t>(the HW Act). All hazardous waste must be imported in accordance with the requirements of the HW</w:t>
      </w:r>
      <w:r>
        <w:rPr>
          <w:spacing w:val="-12"/>
          <w:sz w:val="20"/>
        </w:rPr>
        <w:t> </w:t>
      </w:r>
      <w:r>
        <w:rPr>
          <w:sz w:val="20"/>
        </w:rPr>
        <w:t>Act.</w:t>
      </w:r>
    </w:p>
    <w:p>
      <w:pPr>
        <w:pStyle w:val="BodyText"/>
        <w:spacing w:before="3"/>
        <w:rPr>
          <w:sz w:val="25"/>
        </w:rPr>
      </w:pPr>
    </w:p>
    <w:p>
      <w:pPr>
        <w:pStyle w:val="BodyText"/>
        <w:ind w:left="140" w:right="348"/>
      </w:pPr>
      <w:r>
        <w:rPr/>
        <w:t>The amendments to the PI Regulations also prohibit the importation into Australia of chrysotile or goods listed in part 1 of Schedule 3B to the PI Regulations (see Attachment A) that contain chrysotile unless:</w:t>
      </w:r>
    </w:p>
    <w:p>
      <w:pPr>
        <w:pStyle w:val="BodyText"/>
        <w:spacing w:before="1"/>
        <w:rPr>
          <w:sz w:val="25"/>
        </w:rPr>
      </w:pPr>
    </w:p>
    <w:p>
      <w:pPr>
        <w:pStyle w:val="ListParagraph"/>
        <w:numPr>
          <w:ilvl w:val="0"/>
          <w:numId w:val="2"/>
        </w:numPr>
        <w:tabs>
          <w:tab w:pos="861" w:val="left" w:leader="none"/>
        </w:tabs>
        <w:spacing w:line="240" w:lineRule="auto" w:before="1" w:after="0"/>
        <w:ind w:left="860" w:right="133" w:hanging="360"/>
        <w:jc w:val="both"/>
        <w:rPr>
          <w:sz w:val="20"/>
        </w:rPr>
      </w:pPr>
      <w:r>
        <w:rPr>
          <w:sz w:val="20"/>
        </w:rPr>
        <w:t>The chrysotile is, or goods are, hazardous waste under section 4 of the </w:t>
      </w:r>
      <w:r>
        <w:rPr>
          <w:i/>
          <w:sz w:val="20"/>
        </w:rPr>
        <w:t>Hazardous Waste (Regulation of Exports and Imports) Act</w:t>
      </w:r>
      <w:r>
        <w:rPr>
          <w:i/>
          <w:spacing w:val="-8"/>
          <w:sz w:val="20"/>
        </w:rPr>
        <w:t> </w:t>
      </w:r>
      <w:r>
        <w:rPr>
          <w:i/>
          <w:sz w:val="20"/>
        </w:rPr>
        <w:t>1989</w:t>
      </w:r>
      <w:r>
        <w:rPr>
          <w:sz w:val="20"/>
        </w:rPr>
        <w:t>;</w:t>
      </w:r>
    </w:p>
    <w:p>
      <w:pPr>
        <w:pStyle w:val="ListParagraph"/>
        <w:numPr>
          <w:ilvl w:val="0"/>
          <w:numId w:val="2"/>
        </w:numPr>
        <w:tabs>
          <w:tab w:pos="861" w:val="left" w:leader="none"/>
        </w:tabs>
        <w:spacing w:line="240" w:lineRule="auto" w:before="119" w:after="0"/>
        <w:ind w:left="860" w:right="129" w:hanging="360"/>
        <w:jc w:val="both"/>
        <w:rPr>
          <w:sz w:val="20"/>
        </w:rPr>
      </w:pPr>
      <w:r>
        <w:rPr>
          <w:sz w:val="20"/>
        </w:rPr>
        <w:t>The chrysotile is, or goods are, to be used for a purpose listed in  Part  2  of  Schedule 3B of the PI Regulations (see Attachment B) or for research, analysis or display, the importation is on or before the expiry date listed in the Schedule and a confirmation has been granted in respect of the chrysotile or goods</w:t>
      </w:r>
      <w:r>
        <w:rPr>
          <w:spacing w:val="-14"/>
          <w:sz w:val="20"/>
        </w:rPr>
        <w:t> </w:t>
      </w:r>
      <w:r>
        <w:rPr>
          <w:sz w:val="20"/>
        </w:rPr>
        <w:t>by:</w:t>
      </w:r>
    </w:p>
    <w:p>
      <w:pPr>
        <w:pStyle w:val="BodyText"/>
        <w:spacing w:line="381" w:lineRule="auto" w:before="135"/>
        <w:ind w:left="1580" w:right="272"/>
        <w:jc w:val="both"/>
      </w:pPr>
      <w:r>
        <w:rPr/>
        <w:t>The Seafarers Safety, Rehabilitation and Compensation Authority (SSRCA); The Safety, Rehabilitation and Compensation Commission (SRCC); or</w:t>
      </w:r>
    </w:p>
    <w:p>
      <w:pPr>
        <w:pStyle w:val="BodyText"/>
        <w:spacing w:line="227" w:lineRule="exact"/>
        <w:ind w:left="1580"/>
        <w:jc w:val="both"/>
      </w:pPr>
      <w:r>
        <w:rPr/>
        <w:t>A relevant State/Territory occupational health and safety (OH&amp;S) authority.</w:t>
      </w:r>
    </w:p>
    <w:p>
      <w:pPr>
        <w:pStyle w:val="ListParagraph"/>
        <w:numPr>
          <w:ilvl w:val="0"/>
          <w:numId w:val="2"/>
        </w:numPr>
        <w:tabs>
          <w:tab w:pos="861" w:val="left" w:leader="none"/>
        </w:tabs>
        <w:spacing w:line="240" w:lineRule="auto" w:before="120" w:after="0"/>
        <w:ind w:left="860" w:right="130" w:hanging="360"/>
        <w:jc w:val="both"/>
        <w:rPr>
          <w:sz w:val="20"/>
        </w:rPr>
      </w:pPr>
      <w:r>
        <w:rPr>
          <w:sz w:val="20"/>
        </w:rPr>
        <w:t>The Minister for Employment and Workplace Relations (the Minister) or an authorised person confirms that he/she has granted a permission to import for the purposes of research, analysis or</w:t>
      </w:r>
      <w:r>
        <w:rPr>
          <w:spacing w:val="-4"/>
          <w:sz w:val="20"/>
        </w:rPr>
        <w:t> </w:t>
      </w:r>
      <w:r>
        <w:rPr>
          <w:sz w:val="20"/>
        </w:rPr>
        <w:t>display;</w:t>
      </w:r>
    </w:p>
    <w:p>
      <w:pPr>
        <w:pStyle w:val="ListParagraph"/>
        <w:numPr>
          <w:ilvl w:val="0"/>
          <w:numId w:val="2"/>
        </w:numPr>
        <w:tabs>
          <w:tab w:pos="861" w:val="left" w:leader="none"/>
        </w:tabs>
        <w:spacing w:line="240" w:lineRule="auto" w:before="121" w:after="0"/>
        <w:ind w:left="860" w:right="0" w:hanging="361"/>
        <w:jc w:val="left"/>
        <w:rPr>
          <w:sz w:val="20"/>
        </w:rPr>
      </w:pPr>
      <w:r>
        <w:rPr>
          <w:sz w:val="20"/>
        </w:rPr>
        <w:t>The goods are being imported from the Australian Antarctic Territory;</w:t>
      </w:r>
      <w:r>
        <w:rPr>
          <w:spacing w:val="-23"/>
          <w:sz w:val="20"/>
        </w:rPr>
        <w:t> </w:t>
      </w:r>
      <w:r>
        <w:rPr>
          <w:sz w:val="20"/>
        </w:rPr>
        <w:t>or</w:t>
      </w:r>
    </w:p>
    <w:p>
      <w:pPr>
        <w:pStyle w:val="ListParagraph"/>
        <w:numPr>
          <w:ilvl w:val="0"/>
          <w:numId w:val="2"/>
        </w:numPr>
        <w:tabs>
          <w:tab w:pos="861" w:val="left" w:leader="none"/>
        </w:tabs>
        <w:spacing w:line="240" w:lineRule="auto" w:before="120" w:after="0"/>
        <w:ind w:left="860" w:right="0" w:hanging="361"/>
        <w:jc w:val="left"/>
        <w:rPr>
          <w:sz w:val="20"/>
        </w:rPr>
      </w:pPr>
      <w:r>
        <w:rPr>
          <w:sz w:val="20"/>
        </w:rPr>
        <w:t>The chrysotile exists as a naturally occurring trace element in a raw</w:t>
      </w:r>
      <w:r>
        <w:rPr>
          <w:spacing w:val="-13"/>
          <w:sz w:val="20"/>
        </w:rPr>
        <w:t> </w:t>
      </w:r>
      <w:r>
        <w:rPr>
          <w:sz w:val="20"/>
        </w:rPr>
        <w:t>material.</w:t>
      </w:r>
    </w:p>
    <w:p>
      <w:pPr>
        <w:pStyle w:val="BodyText"/>
        <w:spacing w:before="2"/>
        <w:rPr>
          <w:sz w:val="25"/>
        </w:rPr>
      </w:pPr>
    </w:p>
    <w:p>
      <w:pPr>
        <w:pStyle w:val="BodyText"/>
        <w:ind w:left="140" w:right="204"/>
      </w:pPr>
      <w:r>
        <w:rPr/>
        <w:t>In addition to the exclusions above, the import control does not apply to goods containing chrysotile when the good is “in-situ”. This exemption only covers instances where the good containing chrysotile has been incorporated into a separate, larger item being imported (such as a machine or vehicle) in such a way that it does not constitute a risk to users unless the chrysotile in the good is disturbed.</w:t>
      </w:r>
    </w:p>
    <w:p>
      <w:pPr>
        <w:pStyle w:val="BodyText"/>
      </w:pPr>
    </w:p>
    <w:p>
      <w:pPr>
        <w:pStyle w:val="BodyText"/>
        <w:ind w:left="140" w:right="615"/>
      </w:pPr>
      <w:r>
        <w:rPr/>
        <w:t>Further information on the controls on asbestos and asbestos goods can be found at the National Occupational Health and Safety Commission website at</w:t>
      </w:r>
    </w:p>
    <w:p>
      <w:pPr>
        <w:spacing w:after="0"/>
        <w:sectPr>
          <w:type w:val="continuous"/>
          <w:pgSz w:w="11900" w:h="16840"/>
          <w:pgMar w:top="1540" w:bottom="280" w:left="1660" w:right="1660"/>
        </w:sectPr>
      </w:pPr>
    </w:p>
    <w:p>
      <w:pPr>
        <w:pStyle w:val="BodyText"/>
        <w:spacing w:before="77"/>
        <w:ind w:left="140" w:right="621" w:hanging="1"/>
        <w:jc w:val="both"/>
      </w:pPr>
      <w:hyperlink r:id="rId6">
        <w:r>
          <w:rPr>
            <w:color w:val="0000FF"/>
            <w:u w:val="single" w:color="0000FF"/>
          </w:rPr>
          <w:t>www.nohsc.gov.au/OHSLegalObligations/HazSubstancesAndDngGoods/Chrysotile.htm</w:t>
        </w:r>
      </w:hyperlink>
      <w:r>
        <w:rPr/>
        <w:t>. All enquiries concerning the import of asbestos should be directed to the relevant OH&amp;S authority in each state or territory in the first instance:</w:t>
      </w:r>
    </w:p>
    <w:p>
      <w:pPr>
        <w:pStyle w:val="BodyText"/>
        <w:rPr>
          <w:sz w:val="12"/>
        </w:rPr>
      </w:pPr>
    </w:p>
    <w:p>
      <w:pPr>
        <w:spacing w:after="0"/>
        <w:rPr>
          <w:sz w:val="12"/>
        </w:rPr>
        <w:sectPr>
          <w:pgSz w:w="11900" w:h="16840"/>
          <w:pgMar w:top="1360" w:bottom="280" w:left="1660" w:right="1660"/>
        </w:sectPr>
      </w:pPr>
    </w:p>
    <w:p>
      <w:pPr>
        <w:pStyle w:val="Heading1"/>
        <w:spacing w:line="229" w:lineRule="exact"/>
      </w:pPr>
      <w:r>
        <w:rPr/>
        <w:t>NSW – WORKCOVER</w:t>
      </w:r>
    </w:p>
    <w:p>
      <w:pPr>
        <w:pStyle w:val="BodyText"/>
        <w:spacing w:line="229" w:lineRule="exact"/>
        <w:ind w:left="140"/>
      </w:pPr>
      <w:r>
        <w:rPr/>
        <w:t>Locked Bag 2906</w:t>
      </w:r>
    </w:p>
    <w:p>
      <w:pPr>
        <w:pStyle w:val="BodyText"/>
        <w:ind w:left="140"/>
      </w:pPr>
      <w:r>
        <w:rPr/>
        <w:t>LISAROW  NSW</w:t>
      </w:r>
      <w:r>
        <w:rPr>
          <w:spacing w:val="45"/>
        </w:rPr>
        <w:t> </w:t>
      </w:r>
      <w:r>
        <w:rPr/>
        <w:t>2608</w:t>
      </w:r>
    </w:p>
    <w:p>
      <w:pPr>
        <w:pStyle w:val="BodyText"/>
        <w:ind w:left="140"/>
      </w:pPr>
      <w:r>
        <w:rPr/>
        <w:t>Phone:  (02) 4321</w:t>
      </w:r>
      <w:r>
        <w:rPr>
          <w:spacing w:val="-30"/>
        </w:rPr>
        <w:t> </w:t>
      </w:r>
      <w:r>
        <w:rPr/>
        <w:t>5280</w:t>
      </w:r>
    </w:p>
    <w:p>
      <w:pPr>
        <w:pStyle w:val="Heading1"/>
        <w:spacing w:line="229" w:lineRule="exact"/>
      </w:pPr>
      <w:r>
        <w:rPr>
          <w:b w:val="0"/>
        </w:rPr>
        <w:br w:type="column"/>
      </w:r>
      <w:r>
        <w:rPr/>
        <w:t>VIC – WORKCOVER AUTHORITY</w:t>
      </w:r>
    </w:p>
    <w:p>
      <w:pPr>
        <w:pStyle w:val="BodyText"/>
        <w:spacing w:line="229" w:lineRule="exact"/>
        <w:ind w:left="140"/>
      </w:pPr>
      <w:r>
        <w:rPr/>
        <w:t>Level 24</w:t>
      </w:r>
    </w:p>
    <w:p>
      <w:pPr>
        <w:pStyle w:val="BodyText"/>
        <w:ind w:left="140"/>
      </w:pPr>
      <w:r>
        <w:rPr/>
        <w:t>222 Exhibition Street</w:t>
      </w:r>
    </w:p>
    <w:p>
      <w:pPr>
        <w:pStyle w:val="BodyText"/>
        <w:spacing w:line="230" w:lineRule="exact"/>
        <w:ind w:left="140"/>
      </w:pPr>
      <w:r>
        <w:rPr/>
        <w:t>MELBOURNE VIC</w:t>
      </w:r>
      <w:r>
        <w:rPr>
          <w:spacing w:val="52"/>
        </w:rPr>
        <w:t> </w:t>
      </w:r>
      <w:r>
        <w:rPr/>
        <w:t>3000</w:t>
      </w:r>
    </w:p>
    <w:p>
      <w:pPr>
        <w:pStyle w:val="BodyText"/>
        <w:spacing w:line="230" w:lineRule="exact"/>
        <w:ind w:left="140"/>
      </w:pPr>
      <w:r>
        <w:rPr/>
        <w:t>Phone: (03) 9641 1373</w:t>
      </w:r>
    </w:p>
    <w:p>
      <w:pPr>
        <w:spacing w:after="0" w:line="230" w:lineRule="exact"/>
        <w:sectPr>
          <w:type w:val="continuous"/>
          <w:pgSz w:w="11900" w:h="16840"/>
          <w:pgMar w:top="1540" w:bottom="280" w:left="1660" w:right="1660"/>
          <w:cols w:num="2" w:equalWidth="0">
            <w:col w:w="2257" w:space="2004"/>
            <w:col w:w="4319"/>
          </w:cols>
        </w:sectPr>
      </w:pPr>
    </w:p>
    <w:p>
      <w:pPr>
        <w:pStyle w:val="BodyText"/>
        <w:rPr>
          <w:sz w:val="16"/>
        </w:rPr>
      </w:pPr>
    </w:p>
    <w:p>
      <w:pPr>
        <w:spacing w:after="0"/>
        <w:rPr>
          <w:sz w:val="16"/>
        </w:rPr>
        <w:sectPr>
          <w:type w:val="continuous"/>
          <w:pgSz w:w="11900" w:h="16840"/>
          <w:pgMar w:top="1540" w:bottom="280" w:left="1660" w:right="1660"/>
        </w:sectPr>
      </w:pPr>
    </w:p>
    <w:p>
      <w:pPr>
        <w:pStyle w:val="Heading1"/>
        <w:spacing w:line="229" w:lineRule="exact"/>
      </w:pPr>
      <w:r>
        <w:rPr/>
        <w:t>WA – WORKSAFE</w:t>
      </w:r>
    </w:p>
    <w:p>
      <w:pPr>
        <w:pStyle w:val="BodyText"/>
        <w:ind w:left="140" w:right="24"/>
      </w:pPr>
      <w:r>
        <w:rPr/>
        <w:t>Locked Bag 14 Cloisters Square PERTH WA 6850</w:t>
      </w:r>
    </w:p>
    <w:p>
      <w:pPr>
        <w:pStyle w:val="BodyText"/>
        <w:ind w:left="140"/>
      </w:pPr>
      <w:r>
        <w:rPr/>
        <w:t>Phone:  (08) 9327</w:t>
      </w:r>
      <w:r>
        <w:rPr>
          <w:spacing w:val="-31"/>
        </w:rPr>
        <w:t> </w:t>
      </w:r>
      <w:r>
        <w:rPr/>
        <w:t>8600</w:t>
      </w:r>
    </w:p>
    <w:p>
      <w:pPr>
        <w:pStyle w:val="BodyText"/>
        <w:ind w:left="140"/>
      </w:pPr>
      <w:r>
        <w:rPr/>
        <w:t>Phone:  (08) 9327</w:t>
      </w:r>
      <w:r>
        <w:rPr>
          <w:spacing w:val="-31"/>
        </w:rPr>
        <w:t> </w:t>
      </w:r>
      <w:r>
        <w:rPr/>
        <w:t>8631</w:t>
      </w:r>
    </w:p>
    <w:p>
      <w:pPr>
        <w:pStyle w:val="Heading1"/>
      </w:pPr>
      <w:r>
        <w:rPr>
          <w:b w:val="0"/>
        </w:rPr>
        <w:br w:type="column"/>
      </w:r>
      <w:r>
        <w:rPr>
          <w:spacing w:val="-8"/>
        </w:rPr>
        <w:t>QLD</w:t>
      </w:r>
      <w:r>
        <w:rPr>
          <w:spacing w:val="-18"/>
        </w:rPr>
        <w:t> </w:t>
      </w:r>
      <w:r>
        <w:rPr/>
        <w:t>–</w:t>
      </w:r>
      <w:r>
        <w:rPr>
          <w:spacing w:val="-19"/>
        </w:rPr>
        <w:t> </w:t>
      </w:r>
      <w:r>
        <w:rPr>
          <w:spacing w:val="-10"/>
        </w:rPr>
        <w:t>DEPARTMENT</w:t>
      </w:r>
      <w:r>
        <w:rPr>
          <w:spacing w:val="-18"/>
        </w:rPr>
        <w:t> </w:t>
      </w:r>
      <w:r>
        <w:rPr>
          <w:spacing w:val="-6"/>
        </w:rPr>
        <w:t>OF</w:t>
      </w:r>
      <w:r>
        <w:rPr>
          <w:spacing w:val="-18"/>
        </w:rPr>
        <w:t> </w:t>
      </w:r>
      <w:r>
        <w:rPr>
          <w:spacing w:val="-10"/>
        </w:rPr>
        <w:t>INDUSTRIAL RELATIONS</w:t>
      </w:r>
    </w:p>
    <w:p>
      <w:pPr>
        <w:pStyle w:val="BodyText"/>
        <w:spacing w:line="228" w:lineRule="exact"/>
        <w:ind w:left="140"/>
      </w:pPr>
      <w:r>
        <w:rPr/>
        <w:t>PO Box</w:t>
      </w:r>
      <w:r>
        <w:rPr>
          <w:spacing w:val="-7"/>
        </w:rPr>
        <w:t> </w:t>
      </w:r>
      <w:r>
        <w:rPr/>
        <w:t>820</w:t>
      </w:r>
    </w:p>
    <w:p>
      <w:pPr>
        <w:pStyle w:val="BodyText"/>
        <w:spacing w:line="230" w:lineRule="exact"/>
        <w:ind w:left="140"/>
      </w:pPr>
      <w:r>
        <w:rPr/>
        <w:t>LUTWYCHE QLD</w:t>
      </w:r>
      <w:r>
        <w:rPr>
          <w:spacing w:val="52"/>
        </w:rPr>
        <w:t> </w:t>
      </w:r>
      <w:r>
        <w:rPr/>
        <w:t>4030</w:t>
      </w:r>
    </w:p>
    <w:p>
      <w:pPr>
        <w:pStyle w:val="BodyText"/>
        <w:spacing w:line="230" w:lineRule="exact"/>
        <w:ind w:left="140"/>
      </w:pPr>
      <w:r>
        <w:rPr/>
        <w:t>Phone: (07) 3247 4498</w:t>
      </w:r>
    </w:p>
    <w:p>
      <w:pPr>
        <w:spacing w:after="0" w:line="230" w:lineRule="exact"/>
        <w:sectPr>
          <w:type w:val="continuous"/>
          <w:pgSz w:w="11900" w:h="16840"/>
          <w:pgMar w:top="1540" w:bottom="280" w:left="1660" w:right="1660"/>
          <w:cols w:num="2" w:equalWidth="0">
            <w:col w:w="2257" w:space="2004"/>
            <w:col w:w="4319"/>
          </w:cols>
        </w:sectPr>
      </w:pPr>
    </w:p>
    <w:p>
      <w:pPr>
        <w:pStyle w:val="BodyText"/>
        <w:spacing w:before="11"/>
        <w:rPr>
          <w:sz w:val="15"/>
        </w:rPr>
      </w:pPr>
    </w:p>
    <w:p>
      <w:pPr>
        <w:spacing w:after="0"/>
        <w:rPr>
          <w:sz w:val="15"/>
        </w:rPr>
        <w:sectPr>
          <w:type w:val="continuous"/>
          <w:pgSz w:w="11900" w:h="16840"/>
          <w:pgMar w:top="1540" w:bottom="280" w:left="1660" w:right="1660"/>
        </w:sectPr>
      </w:pPr>
    </w:p>
    <w:p>
      <w:pPr>
        <w:pStyle w:val="Heading1"/>
        <w:spacing w:line="229" w:lineRule="exact"/>
      </w:pPr>
      <w:r>
        <w:rPr/>
        <w:t>ACT – WORKCOVER</w:t>
      </w:r>
    </w:p>
    <w:p>
      <w:pPr>
        <w:pStyle w:val="BodyText"/>
        <w:spacing w:line="229" w:lineRule="exact"/>
        <w:ind w:left="140"/>
      </w:pPr>
      <w:r>
        <w:rPr/>
        <w:t>PO Box 224</w:t>
      </w:r>
    </w:p>
    <w:p>
      <w:pPr>
        <w:pStyle w:val="BodyText"/>
        <w:spacing w:line="229" w:lineRule="exact"/>
        <w:ind w:left="140"/>
      </w:pPr>
      <w:r>
        <w:rPr/>
        <w:t>CIVIC SQUARE ACT</w:t>
      </w:r>
      <w:r>
        <w:rPr>
          <w:spacing w:val="52"/>
        </w:rPr>
        <w:t> </w:t>
      </w:r>
      <w:r>
        <w:rPr/>
        <w:t>2608</w:t>
      </w:r>
    </w:p>
    <w:p>
      <w:pPr>
        <w:pStyle w:val="BodyText"/>
        <w:spacing w:line="234" w:lineRule="exact"/>
        <w:ind w:left="140"/>
        <w:rPr>
          <w:rFonts w:ascii="Helvetica"/>
        </w:rPr>
      </w:pPr>
      <w:r>
        <w:rPr>
          <w:rFonts w:ascii="Helvetica"/>
        </w:rPr>
        <w:t>Phone: (02) 6207 8774</w:t>
      </w:r>
    </w:p>
    <w:p>
      <w:pPr>
        <w:pStyle w:val="Heading1"/>
        <w:spacing w:line="229" w:lineRule="exact"/>
      </w:pPr>
      <w:r>
        <w:rPr>
          <w:b w:val="0"/>
        </w:rPr>
        <w:br w:type="column"/>
      </w:r>
      <w:r>
        <w:rPr/>
        <w:t>SA – WORKPLACE SERVICES</w:t>
      </w:r>
    </w:p>
    <w:p>
      <w:pPr>
        <w:pStyle w:val="BodyText"/>
        <w:spacing w:line="229" w:lineRule="exact"/>
        <w:ind w:left="140"/>
      </w:pPr>
      <w:r>
        <w:rPr/>
        <w:t>GPO Box 465</w:t>
      </w:r>
    </w:p>
    <w:p>
      <w:pPr>
        <w:pStyle w:val="BodyText"/>
        <w:ind w:left="140"/>
      </w:pPr>
      <w:r>
        <w:rPr/>
        <w:t>ADELAIDE SA</w:t>
      </w:r>
      <w:r>
        <w:rPr>
          <w:spacing w:val="52"/>
        </w:rPr>
        <w:t> </w:t>
      </w:r>
      <w:r>
        <w:rPr/>
        <w:t>5001</w:t>
      </w:r>
    </w:p>
    <w:p>
      <w:pPr>
        <w:pStyle w:val="BodyText"/>
        <w:spacing w:before="1"/>
        <w:ind w:left="140"/>
      </w:pPr>
      <w:r>
        <w:rPr/>
        <w:t>Phone: (08) 8303 0207</w:t>
      </w:r>
    </w:p>
    <w:p>
      <w:pPr>
        <w:spacing w:after="0"/>
        <w:sectPr>
          <w:type w:val="continuous"/>
          <w:pgSz w:w="11900" w:h="16840"/>
          <w:pgMar w:top="1540" w:bottom="280" w:left="1660" w:right="1660"/>
          <w:cols w:num="2" w:equalWidth="0">
            <w:col w:w="2681" w:space="1580"/>
            <w:col w:w="4319"/>
          </w:cols>
        </w:sectPr>
      </w:pPr>
    </w:p>
    <w:p>
      <w:pPr>
        <w:pStyle w:val="BodyText"/>
        <w:spacing w:before="9"/>
        <w:rPr>
          <w:sz w:val="15"/>
        </w:rPr>
      </w:pPr>
    </w:p>
    <w:p>
      <w:pPr>
        <w:spacing w:after="0"/>
        <w:rPr>
          <w:sz w:val="15"/>
        </w:rPr>
        <w:sectPr>
          <w:type w:val="continuous"/>
          <w:pgSz w:w="11900" w:h="16840"/>
          <w:pgMar w:top="1540" w:bottom="280" w:left="1660" w:right="1660"/>
        </w:sectPr>
      </w:pPr>
    </w:p>
    <w:p>
      <w:pPr>
        <w:pStyle w:val="Heading1"/>
        <w:spacing w:line="230" w:lineRule="exact"/>
      </w:pPr>
      <w:r>
        <w:rPr>
          <w:spacing w:val="-7"/>
        </w:rPr>
        <w:t>TAS </w:t>
      </w:r>
      <w:r>
        <w:rPr/>
        <w:t>– </w:t>
      </w:r>
      <w:r>
        <w:rPr>
          <w:spacing w:val="-10"/>
        </w:rPr>
        <w:t>WORKPLACE STANDARDS</w:t>
      </w:r>
    </w:p>
    <w:p>
      <w:pPr>
        <w:pStyle w:val="BodyText"/>
        <w:spacing w:line="230" w:lineRule="exact"/>
        <w:ind w:left="140"/>
      </w:pPr>
      <w:r>
        <w:rPr/>
        <w:t>PO Box 56</w:t>
      </w:r>
    </w:p>
    <w:p>
      <w:pPr>
        <w:pStyle w:val="BodyText"/>
        <w:spacing w:line="230" w:lineRule="exact"/>
        <w:ind w:left="140"/>
      </w:pPr>
      <w:r>
        <w:rPr/>
        <w:t>ROSNY PARK TAS 7018</w:t>
      </w:r>
    </w:p>
    <w:p>
      <w:pPr>
        <w:pStyle w:val="BodyText"/>
        <w:spacing w:line="230" w:lineRule="exact"/>
        <w:ind w:left="140"/>
      </w:pPr>
      <w:r>
        <w:rPr/>
        <w:t>Free call 1300 366 322</w:t>
      </w:r>
    </w:p>
    <w:p>
      <w:pPr>
        <w:pStyle w:val="Heading1"/>
        <w:spacing w:line="230" w:lineRule="exact"/>
      </w:pPr>
      <w:r>
        <w:rPr>
          <w:b w:val="0"/>
        </w:rPr>
        <w:br w:type="column"/>
      </w:r>
      <w:r>
        <w:rPr/>
        <w:t>NT – WORK HEALTH AUTHORITY</w:t>
      </w:r>
    </w:p>
    <w:p>
      <w:pPr>
        <w:pStyle w:val="BodyText"/>
        <w:spacing w:line="230" w:lineRule="exact"/>
        <w:ind w:left="140"/>
      </w:pPr>
      <w:r>
        <w:rPr/>
        <w:t>GPO Box 4821</w:t>
      </w:r>
    </w:p>
    <w:p>
      <w:pPr>
        <w:pStyle w:val="BodyText"/>
        <w:spacing w:line="230" w:lineRule="exact"/>
        <w:ind w:left="140"/>
      </w:pPr>
      <w:r>
        <w:rPr/>
        <w:t>DARWIN NT</w:t>
      </w:r>
      <w:r>
        <w:rPr>
          <w:spacing w:val="51"/>
        </w:rPr>
        <w:t> </w:t>
      </w:r>
      <w:r>
        <w:rPr/>
        <w:t>0801</w:t>
      </w:r>
    </w:p>
    <w:p>
      <w:pPr>
        <w:pStyle w:val="BodyText"/>
        <w:spacing w:line="230" w:lineRule="exact"/>
        <w:ind w:left="140"/>
      </w:pPr>
      <w:r>
        <w:rPr/>
        <w:t>Free Call 1800 019 115</w:t>
      </w:r>
    </w:p>
    <w:p>
      <w:pPr>
        <w:spacing w:after="0" w:line="230" w:lineRule="exact"/>
        <w:sectPr>
          <w:type w:val="continuous"/>
          <w:pgSz w:w="11900" w:h="16840"/>
          <w:pgMar w:top="1540" w:bottom="280" w:left="1660" w:right="1660"/>
          <w:cols w:num="2" w:equalWidth="0">
            <w:col w:w="3187" w:space="1074"/>
            <w:col w:w="4319"/>
          </w:cols>
        </w:sectPr>
      </w:pPr>
    </w:p>
    <w:p>
      <w:pPr>
        <w:pStyle w:val="BodyText"/>
        <w:spacing w:before="10"/>
        <w:rPr>
          <w:sz w:val="15"/>
        </w:rPr>
      </w:pPr>
    </w:p>
    <w:p>
      <w:pPr>
        <w:pStyle w:val="BodyText"/>
        <w:spacing w:before="94"/>
        <w:ind w:left="140" w:right="293"/>
      </w:pPr>
      <w:r>
        <w:rPr/>
        <w:t>The granting of exemptions for asbestos goods for use by the Department of Defence or the Australian Defence Force is the responsibility of the SRCC. As such, all queries relating to Item 4 of Part 2 of Schedule 3B (see Attachment B) should be referred to ComCare:</w:t>
      </w:r>
    </w:p>
    <w:p>
      <w:pPr>
        <w:pStyle w:val="BodyText"/>
      </w:pPr>
    </w:p>
    <w:p>
      <w:pPr>
        <w:pStyle w:val="Heading1"/>
        <w:spacing w:line="230" w:lineRule="exact" w:before="0"/>
        <w:ind w:left="859"/>
      </w:pPr>
      <w:r>
        <w:rPr/>
        <w:t>COMCARE</w:t>
      </w:r>
    </w:p>
    <w:p>
      <w:pPr>
        <w:pStyle w:val="BodyText"/>
        <w:tabs>
          <w:tab w:pos="2803" w:val="right" w:leader="none"/>
        </w:tabs>
        <w:spacing w:line="230" w:lineRule="exact"/>
        <w:ind w:left="859"/>
      </w:pPr>
      <w:r>
        <w:rPr/>
        <w:t>Ph:</w:t>
        <w:tab/>
        <w:t>02 6275</w:t>
      </w:r>
      <w:r>
        <w:rPr>
          <w:spacing w:val="-5"/>
        </w:rPr>
        <w:t> </w:t>
      </w:r>
      <w:r>
        <w:rPr/>
        <w:t>0031</w:t>
      </w:r>
    </w:p>
    <w:p>
      <w:pPr>
        <w:pStyle w:val="BodyText"/>
        <w:tabs>
          <w:tab w:pos="2803" w:val="right" w:leader="none"/>
        </w:tabs>
        <w:spacing w:before="1"/>
        <w:ind w:left="859"/>
      </w:pPr>
      <w:r>
        <w:rPr/>
        <w:t>Ph:</w:t>
        <w:tab/>
        <w:t>02 6275</w:t>
      </w:r>
      <w:r>
        <w:rPr>
          <w:spacing w:val="-5"/>
        </w:rPr>
        <w:t> </w:t>
      </w:r>
      <w:r>
        <w:rPr/>
        <w:t>0054</w:t>
      </w:r>
    </w:p>
    <w:p>
      <w:pPr>
        <w:pStyle w:val="BodyText"/>
        <w:spacing w:before="11"/>
        <w:rPr>
          <w:sz w:val="19"/>
        </w:rPr>
      </w:pPr>
    </w:p>
    <w:p>
      <w:pPr>
        <w:pStyle w:val="BodyText"/>
        <w:ind w:left="859"/>
      </w:pPr>
      <w:r>
        <w:rPr/>
        <w:t>GPO Box 9905</w:t>
      </w:r>
    </w:p>
    <w:p>
      <w:pPr>
        <w:pStyle w:val="BodyText"/>
        <w:ind w:left="859"/>
      </w:pPr>
      <w:r>
        <w:rPr/>
        <w:t>CANBERRA ACT</w:t>
      </w:r>
      <w:r>
        <w:rPr>
          <w:spacing w:val="53"/>
        </w:rPr>
        <w:t> </w:t>
      </w:r>
      <w:r>
        <w:rPr/>
        <w:t>2601</w:t>
      </w:r>
    </w:p>
    <w:p>
      <w:pPr>
        <w:pStyle w:val="BodyText"/>
        <w:rPr>
          <w:sz w:val="22"/>
        </w:rPr>
      </w:pPr>
    </w:p>
    <w:p>
      <w:pPr>
        <w:pStyle w:val="BodyText"/>
        <w:rPr>
          <w:sz w:val="18"/>
        </w:rPr>
      </w:pPr>
    </w:p>
    <w:p>
      <w:pPr>
        <w:pStyle w:val="BodyText"/>
        <w:ind w:left="140"/>
      </w:pPr>
      <w:r>
        <w:rPr/>
        <w:t>The Minister or an authorised person may grant a permission to import for:</w:t>
      </w:r>
    </w:p>
    <w:p>
      <w:pPr>
        <w:pStyle w:val="BodyText"/>
      </w:pPr>
    </w:p>
    <w:p>
      <w:pPr>
        <w:pStyle w:val="ListParagraph"/>
        <w:numPr>
          <w:ilvl w:val="0"/>
          <w:numId w:val="3"/>
        </w:numPr>
        <w:tabs>
          <w:tab w:pos="861" w:val="left" w:leader="none"/>
        </w:tabs>
        <w:spacing w:line="240" w:lineRule="auto" w:before="0" w:after="0"/>
        <w:ind w:left="860" w:right="0" w:hanging="362"/>
        <w:jc w:val="left"/>
        <w:rPr>
          <w:sz w:val="20"/>
        </w:rPr>
      </w:pPr>
      <w:r>
        <w:rPr>
          <w:sz w:val="20"/>
        </w:rPr>
        <w:t>amphibole asbestos or goods containing amphibole asbestos;</w:t>
      </w:r>
      <w:r>
        <w:rPr>
          <w:spacing w:val="-10"/>
          <w:sz w:val="20"/>
        </w:rPr>
        <w:t> </w:t>
      </w:r>
      <w:r>
        <w:rPr>
          <w:sz w:val="20"/>
        </w:rPr>
        <w:t>or</w:t>
      </w:r>
    </w:p>
    <w:p>
      <w:pPr>
        <w:pStyle w:val="ListParagraph"/>
        <w:numPr>
          <w:ilvl w:val="0"/>
          <w:numId w:val="3"/>
        </w:numPr>
        <w:tabs>
          <w:tab w:pos="861" w:val="left" w:leader="none"/>
        </w:tabs>
        <w:spacing w:line="240" w:lineRule="auto" w:before="1" w:after="0"/>
        <w:ind w:left="860" w:right="0" w:hanging="362"/>
        <w:jc w:val="left"/>
        <w:rPr>
          <w:sz w:val="20"/>
        </w:rPr>
      </w:pPr>
      <w:r>
        <w:rPr>
          <w:sz w:val="20"/>
        </w:rPr>
        <w:t>chrysotile or goods containing chrysotile intended for research, analysis and</w:t>
      </w:r>
      <w:r>
        <w:rPr>
          <w:spacing w:val="-30"/>
          <w:sz w:val="20"/>
        </w:rPr>
        <w:t> </w:t>
      </w:r>
      <w:r>
        <w:rPr>
          <w:sz w:val="20"/>
        </w:rPr>
        <w:t>display.</w:t>
      </w:r>
    </w:p>
    <w:p>
      <w:pPr>
        <w:pStyle w:val="BodyText"/>
        <w:spacing w:before="10"/>
        <w:rPr>
          <w:sz w:val="19"/>
        </w:rPr>
      </w:pPr>
    </w:p>
    <w:p>
      <w:pPr>
        <w:pStyle w:val="BodyText"/>
        <w:spacing w:before="1"/>
        <w:ind w:left="140"/>
      </w:pPr>
      <w:r>
        <w:rPr/>
        <w:t>All relevant queries should be referred to:</w:t>
      </w:r>
    </w:p>
    <w:p>
      <w:pPr>
        <w:spacing w:before="181"/>
        <w:ind w:left="859" w:right="2815" w:firstLine="0"/>
        <w:jc w:val="left"/>
        <w:rPr>
          <w:sz w:val="20"/>
        </w:rPr>
      </w:pPr>
      <w:r>
        <w:rPr>
          <w:b/>
          <w:spacing w:val="-5"/>
          <w:sz w:val="20"/>
        </w:rPr>
        <w:t>Department </w:t>
      </w:r>
      <w:r>
        <w:rPr>
          <w:b/>
          <w:spacing w:val="-3"/>
          <w:sz w:val="20"/>
        </w:rPr>
        <w:t>of </w:t>
      </w:r>
      <w:r>
        <w:rPr>
          <w:b/>
          <w:spacing w:val="-5"/>
          <w:sz w:val="20"/>
        </w:rPr>
        <w:t>Employment </w:t>
      </w:r>
      <w:r>
        <w:rPr>
          <w:b/>
          <w:spacing w:val="-4"/>
          <w:sz w:val="20"/>
        </w:rPr>
        <w:t>and </w:t>
      </w:r>
      <w:r>
        <w:rPr>
          <w:b/>
          <w:spacing w:val="-5"/>
          <w:sz w:val="20"/>
        </w:rPr>
        <w:t>Workplace Relations </w:t>
      </w:r>
      <w:r>
        <w:rPr>
          <w:sz w:val="20"/>
        </w:rPr>
        <w:t>Safety, Compensation and International Branch Garema Court 3</w:t>
      </w:r>
    </w:p>
    <w:p>
      <w:pPr>
        <w:pStyle w:val="BodyText"/>
        <w:spacing w:line="228" w:lineRule="exact"/>
        <w:ind w:left="859"/>
      </w:pPr>
      <w:r>
        <w:rPr/>
        <w:t>GPO Box 9879</w:t>
      </w:r>
    </w:p>
    <w:p>
      <w:pPr>
        <w:pStyle w:val="BodyText"/>
        <w:spacing w:line="230" w:lineRule="exact"/>
        <w:ind w:left="859"/>
      </w:pPr>
      <w:r>
        <w:rPr/>
        <w:t>CANBERRA ACT</w:t>
      </w:r>
      <w:r>
        <w:rPr>
          <w:spacing w:val="53"/>
        </w:rPr>
        <w:t> </w:t>
      </w:r>
      <w:r>
        <w:rPr/>
        <w:t>2601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40" w:right="6785"/>
      </w:pPr>
      <w:r>
        <w:rPr/>
        <w:t>Philomena Carnell National Manager Cargo Branch CANBERRA ACT</w:t>
      </w:r>
    </w:p>
    <w:p>
      <w:pPr>
        <w:pStyle w:val="BodyText"/>
        <w:spacing w:before="121"/>
        <w:ind w:left="140"/>
      </w:pPr>
      <w:r>
        <w:rPr/>
        <w:t>14 January 2004</w:t>
      </w:r>
    </w:p>
    <w:p>
      <w:pPr>
        <w:spacing w:after="0"/>
        <w:sectPr>
          <w:type w:val="continuous"/>
          <w:pgSz w:w="11900" w:h="16840"/>
          <w:pgMar w:top="1540" w:bottom="280" w:left="1660" w:right="1660"/>
        </w:sectPr>
      </w:pPr>
    </w:p>
    <w:p>
      <w:pPr>
        <w:pStyle w:val="Heading1"/>
        <w:spacing w:before="78"/>
      </w:pPr>
      <w:r>
        <w:rPr/>
        <w:t>Attachment A</w:t>
      </w:r>
    </w:p>
    <w:p>
      <w:pPr>
        <w:pStyle w:val="BodyText"/>
        <w:rPr>
          <w:b/>
        </w:rPr>
      </w:pPr>
    </w:p>
    <w:p>
      <w:pPr>
        <w:spacing w:before="0"/>
        <w:ind w:left="140" w:right="0" w:firstLine="0"/>
        <w:jc w:val="left"/>
        <w:rPr>
          <w:b/>
          <w:sz w:val="20"/>
        </w:rPr>
      </w:pPr>
      <w:r>
        <w:rPr>
          <w:b/>
          <w:sz w:val="20"/>
        </w:rPr>
        <w:t>Goods Containing Chrysotile</w:t>
      </w:r>
    </w:p>
    <w:p>
      <w:pPr>
        <w:pStyle w:val="BodyText"/>
        <w:spacing w:before="11"/>
        <w:rPr>
          <w:b/>
          <w:sz w:val="19"/>
        </w:rPr>
      </w:pPr>
    </w:p>
    <w:p>
      <w:pPr>
        <w:pStyle w:val="BodyText"/>
        <w:ind w:left="140" w:right="1205"/>
      </w:pPr>
      <w:r>
        <w:rPr/>
        <w:t>A list of the goods containing chrysotile that are covered under this control are detailed in Part 1 of Schedule 3B to the PI Regulations. The following Australian Harmonised Tariff Codes may relate to asbestos goods:</w:t>
      </w:r>
    </w:p>
    <w:p>
      <w:pPr>
        <w:pStyle w:val="BodyText"/>
        <w:spacing w:before="5"/>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2"/>
        <w:gridCol w:w="1462"/>
      </w:tblGrid>
      <w:tr>
        <w:trPr>
          <w:trHeight w:val="296" w:hRule="atLeast"/>
        </w:trPr>
        <w:tc>
          <w:tcPr>
            <w:tcW w:w="5112" w:type="dxa"/>
          </w:tcPr>
          <w:p>
            <w:pPr>
              <w:pStyle w:val="TableParagraph"/>
              <w:spacing w:line="178" w:lineRule="exact"/>
              <w:ind w:left="410"/>
              <w:rPr>
                <w:b/>
                <w:sz w:val="16"/>
              </w:rPr>
            </w:pPr>
            <w:r>
              <w:rPr>
                <w:b/>
                <w:sz w:val="16"/>
              </w:rPr>
              <w:t>COMMODITY DESCRIPTION</w:t>
            </w:r>
          </w:p>
        </w:tc>
        <w:tc>
          <w:tcPr>
            <w:tcW w:w="1462" w:type="dxa"/>
          </w:tcPr>
          <w:p>
            <w:pPr>
              <w:pStyle w:val="TableParagraph"/>
              <w:spacing w:line="178" w:lineRule="exact"/>
              <w:ind w:left="339"/>
              <w:rPr>
                <w:b/>
                <w:sz w:val="16"/>
              </w:rPr>
            </w:pPr>
            <w:r>
              <w:rPr>
                <w:b/>
                <w:sz w:val="16"/>
              </w:rPr>
              <w:t>TARIFF CODE</w:t>
            </w:r>
          </w:p>
        </w:tc>
      </w:tr>
      <w:tr>
        <w:trPr>
          <w:trHeight w:val="345" w:hRule="atLeast"/>
        </w:trPr>
        <w:tc>
          <w:tcPr>
            <w:tcW w:w="5112" w:type="dxa"/>
          </w:tcPr>
          <w:p>
            <w:pPr>
              <w:pStyle w:val="TableParagraph"/>
              <w:spacing w:line="213" w:lineRule="exact" w:before="111"/>
              <w:rPr>
                <w:sz w:val="20"/>
              </w:rPr>
            </w:pPr>
            <w:r>
              <w:rPr>
                <w:sz w:val="20"/>
              </w:rPr>
              <w:t>1. Cement corrugated sheets</w:t>
            </w:r>
          </w:p>
        </w:tc>
        <w:tc>
          <w:tcPr>
            <w:tcW w:w="1462" w:type="dxa"/>
          </w:tcPr>
          <w:p>
            <w:pPr>
              <w:pStyle w:val="TableParagraph"/>
              <w:spacing w:line="213" w:lineRule="exact" w:before="111"/>
              <w:ind w:left="337"/>
              <w:rPr>
                <w:sz w:val="20"/>
              </w:rPr>
            </w:pPr>
            <w:r>
              <w:rPr>
                <w:sz w:val="20"/>
              </w:rPr>
              <w:t>6811.10</w:t>
            </w:r>
          </w:p>
        </w:tc>
      </w:tr>
      <w:tr>
        <w:trPr>
          <w:trHeight w:val="229" w:hRule="atLeast"/>
        </w:trPr>
        <w:tc>
          <w:tcPr>
            <w:tcW w:w="5112" w:type="dxa"/>
          </w:tcPr>
          <w:p>
            <w:pPr>
              <w:pStyle w:val="TableParagraph"/>
              <w:rPr>
                <w:sz w:val="20"/>
              </w:rPr>
            </w:pPr>
            <w:r>
              <w:rPr>
                <w:sz w:val="20"/>
              </w:rPr>
              <w:t>2. Cement flat sheet or panels</w:t>
            </w:r>
          </w:p>
        </w:tc>
        <w:tc>
          <w:tcPr>
            <w:tcW w:w="1462" w:type="dxa"/>
          </w:tcPr>
          <w:p>
            <w:pPr>
              <w:pStyle w:val="TableParagraph"/>
              <w:ind w:left="336"/>
              <w:rPr>
                <w:sz w:val="20"/>
              </w:rPr>
            </w:pPr>
            <w:r>
              <w:rPr>
                <w:sz w:val="20"/>
              </w:rPr>
              <w:t>6811.20</w:t>
            </w:r>
          </w:p>
        </w:tc>
      </w:tr>
      <w:tr>
        <w:trPr>
          <w:trHeight w:val="229" w:hRule="atLeast"/>
        </w:trPr>
        <w:tc>
          <w:tcPr>
            <w:tcW w:w="5112" w:type="dxa"/>
          </w:tcPr>
          <w:p>
            <w:pPr>
              <w:pStyle w:val="TableParagraph"/>
              <w:rPr>
                <w:sz w:val="20"/>
              </w:rPr>
            </w:pPr>
            <w:r>
              <w:rPr>
                <w:sz w:val="20"/>
              </w:rPr>
              <w:t>3. Cement shingles or tiles</w:t>
            </w:r>
          </w:p>
        </w:tc>
        <w:tc>
          <w:tcPr>
            <w:tcW w:w="1462" w:type="dxa"/>
          </w:tcPr>
          <w:p>
            <w:pPr>
              <w:pStyle w:val="TableParagraph"/>
              <w:ind w:left="336"/>
              <w:rPr>
                <w:sz w:val="20"/>
              </w:rPr>
            </w:pPr>
            <w:r>
              <w:rPr>
                <w:sz w:val="20"/>
              </w:rPr>
              <w:t>6811.20</w:t>
            </w:r>
          </w:p>
        </w:tc>
      </w:tr>
      <w:tr>
        <w:trPr>
          <w:trHeight w:val="230" w:hRule="atLeast"/>
        </w:trPr>
        <w:tc>
          <w:tcPr>
            <w:tcW w:w="5112" w:type="dxa"/>
          </w:tcPr>
          <w:p>
            <w:pPr>
              <w:pStyle w:val="TableParagraph"/>
              <w:rPr>
                <w:sz w:val="20"/>
              </w:rPr>
            </w:pPr>
            <w:r>
              <w:rPr>
                <w:sz w:val="20"/>
              </w:rPr>
              <w:t>4. Cement pipes, tubes or fittings</w:t>
            </w:r>
          </w:p>
        </w:tc>
        <w:tc>
          <w:tcPr>
            <w:tcW w:w="1462" w:type="dxa"/>
          </w:tcPr>
          <w:p>
            <w:pPr>
              <w:pStyle w:val="TableParagraph"/>
              <w:ind w:left="337"/>
              <w:rPr>
                <w:sz w:val="20"/>
              </w:rPr>
            </w:pPr>
            <w:r>
              <w:rPr>
                <w:sz w:val="20"/>
              </w:rPr>
              <w:t>6811.30</w:t>
            </w:r>
          </w:p>
        </w:tc>
      </w:tr>
      <w:tr>
        <w:trPr>
          <w:trHeight w:val="229" w:hRule="atLeast"/>
        </w:trPr>
        <w:tc>
          <w:tcPr>
            <w:tcW w:w="5112" w:type="dxa"/>
          </w:tcPr>
          <w:p>
            <w:pPr>
              <w:pStyle w:val="TableParagraph"/>
              <w:rPr>
                <w:sz w:val="20"/>
              </w:rPr>
            </w:pPr>
            <w:r>
              <w:rPr>
                <w:sz w:val="20"/>
              </w:rPr>
              <w:t>5. Brake linings or blocks</w:t>
            </w:r>
          </w:p>
        </w:tc>
        <w:tc>
          <w:tcPr>
            <w:tcW w:w="1462" w:type="dxa"/>
          </w:tcPr>
          <w:p>
            <w:pPr>
              <w:pStyle w:val="TableParagraph"/>
              <w:ind w:left="337"/>
              <w:rPr>
                <w:sz w:val="20"/>
              </w:rPr>
            </w:pPr>
            <w:r>
              <w:rPr>
                <w:sz w:val="20"/>
              </w:rPr>
              <w:t>6813.10</w:t>
            </w:r>
          </w:p>
        </w:tc>
      </w:tr>
      <w:tr>
        <w:trPr>
          <w:trHeight w:val="229" w:hRule="atLeast"/>
        </w:trPr>
        <w:tc>
          <w:tcPr>
            <w:tcW w:w="5112" w:type="dxa"/>
          </w:tcPr>
          <w:p>
            <w:pPr>
              <w:pStyle w:val="TableParagraph"/>
              <w:rPr>
                <w:sz w:val="20"/>
              </w:rPr>
            </w:pPr>
            <w:r>
              <w:rPr>
                <w:sz w:val="20"/>
              </w:rPr>
              <w:t>6. Clutch linings or blocks</w:t>
            </w:r>
          </w:p>
        </w:tc>
        <w:tc>
          <w:tcPr>
            <w:tcW w:w="1462" w:type="dxa"/>
          </w:tcPr>
          <w:p>
            <w:pPr>
              <w:pStyle w:val="TableParagraph"/>
              <w:ind w:left="337"/>
              <w:rPr>
                <w:sz w:val="20"/>
              </w:rPr>
            </w:pPr>
            <w:r>
              <w:rPr>
                <w:sz w:val="20"/>
              </w:rPr>
              <w:t>6813.10</w:t>
            </w:r>
          </w:p>
        </w:tc>
      </w:tr>
      <w:tr>
        <w:trPr>
          <w:trHeight w:val="230" w:hRule="atLeast"/>
        </w:trPr>
        <w:tc>
          <w:tcPr>
            <w:tcW w:w="5112" w:type="dxa"/>
          </w:tcPr>
          <w:p>
            <w:pPr>
              <w:pStyle w:val="TableParagraph"/>
              <w:rPr>
                <w:sz w:val="20"/>
              </w:rPr>
            </w:pPr>
            <w:r>
              <w:rPr>
                <w:sz w:val="20"/>
              </w:rPr>
              <w:t>7. Gaskets or seals</w:t>
            </w:r>
          </w:p>
        </w:tc>
        <w:tc>
          <w:tcPr>
            <w:tcW w:w="1462" w:type="dxa"/>
          </w:tcPr>
          <w:p>
            <w:pPr>
              <w:pStyle w:val="TableParagraph"/>
              <w:ind w:left="338"/>
              <w:rPr>
                <w:sz w:val="20"/>
              </w:rPr>
            </w:pPr>
            <w:r>
              <w:rPr>
                <w:sz w:val="20"/>
              </w:rPr>
              <w:t>6812.90</w:t>
            </w:r>
          </w:p>
        </w:tc>
      </w:tr>
      <w:tr>
        <w:trPr>
          <w:trHeight w:val="229" w:hRule="atLeast"/>
        </w:trPr>
        <w:tc>
          <w:tcPr>
            <w:tcW w:w="5112" w:type="dxa"/>
          </w:tcPr>
          <w:p>
            <w:pPr>
              <w:pStyle w:val="TableParagraph"/>
              <w:rPr>
                <w:sz w:val="20"/>
              </w:rPr>
            </w:pPr>
            <w:r>
              <w:rPr>
                <w:sz w:val="20"/>
              </w:rPr>
              <w:t>8. Sheeting</w:t>
            </w:r>
          </w:p>
        </w:tc>
        <w:tc>
          <w:tcPr>
            <w:tcW w:w="1462" w:type="dxa"/>
          </w:tcPr>
          <w:p>
            <w:pPr>
              <w:pStyle w:val="TableParagraph"/>
              <w:ind w:left="338"/>
              <w:rPr>
                <w:sz w:val="20"/>
              </w:rPr>
            </w:pPr>
            <w:r>
              <w:rPr>
                <w:sz w:val="20"/>
              </w:rPr>
              <w:t>6812.70</w:t>
            </w:r>
          </w:p>
        </w:tc>
      </w:tr>
      <w:tr>
        <w:trPr>
          <w:trHeight w:val="229" w:hRule="atLeast"/>
        </w:trPr>
        <w:tc>
          <w:tcPr>
            <w:tcW w:w="5112" w:type="dxa"/>
          </w:tcPr>
          <w:p>
            <w:pPr>
              <w:pStyle w:val="TableParagraph"/>
              <w:rPr>
                <w:sz w:val="20"/>
              </w:rPr>
            </w:pPr>
            <w:r>
              <w:rPr>
                <w:sz w:val="20"/>
              </w:rPr>
              <w:t>9. Electrical panel partitioning</w:t>
            </w:r>
          </w:p>
        </w:tc>
        <w:tc>
          <w:tcPr>
            <w:tcW w:w="1462" w:type="dxa"/>
          </w:tcPr>
          <w:p>
            <w:pPr>
              <w:pStyle w:val="TableParagraph"/>
              <w:ind w:left="337"/>
              <w:rPr>
                <w:sz w:val="20"/>
              </w:rPr>
            </w:pPr>
            <w:r>
              <w:rPr>
                <w:sz w:val="20"/>
              </w:rPr>
              <w:t>6811.20</w:t>
            </w:r>
          </w:p>
        </w:tc>
      </w:tr>
      <w:tr>
        <w:trPr>
          <w:trHeight w:val="230" w:hRule="atLeast"/>
        </w:trPr>
        <w:tc>
          <w:tcPr>
            <w:tcW w:w="5112" w:type="dxa"/>
          </w:tcPr>
          <w:p>
            <w:pPr>
              <w:pStyle w:val="TableParagraph"/>
              <w:rPr>
                <w:sz w:val="20"/>
              </w:rPr>
            </w:pPr>
            <w:r>
              <w:rPr>
                <w:sz w:val="20"/>
              </w:rPr>
              <w:t>10. Fire blankets</w:t>
            </w:r>
          </w:p>
        </w:tc>
        <w:tc>
          <w:tcPr>
            <w:tcW w:w="1462" w:type="dxa"/>
          </w:tcPr>
          <w:p>
            <w:pPr>
              <w:pStyle w:val="TableParagraph"/>
              <w:ind w:left="338"/>
              <w:rPr>
                <w:sz w:val="20"/>
              </w:rPr>
            </w:pPr>
            <w:r>
              <w:rPr>
                <w:sz w:val="20"/>
              </w:rPr>
              <w:t>6812.90</w:t>
            </w:r>
          </w:p>
        </w:tc>
      </w:tr>
      <w:tr>
        <w:trPr>
          <w:trHeight w:val="229" w:hRule="atLeast"/>
        </w:trPr>
        <w:tc>
          <w:tcPr>
            <w:tcW w:w="5112" w:type="dxa"/>
          </w:tcPr>
          <w:p>
            <w:pPr>
              <w:pStyle w:val="TableParagraph"/>
              <w:rPr>
                <w:sz w:val="20"/>
              </w:rPr>
            </w:pPr>
            <w:r>
              <w:rPr>
                <w:sz w:val="20"/>
              </w:rPr>
              <w:t>11. Fire curtains</w:t>
            </w:r>
          </w:p>
        </w:tc>
        <w:tc>
          <w:tcPr>
            <w:tcW w:w="1462" w:type="dxa"/>
          </w:tcPr>
          <w:p>
            <w:pPr>
              <w:pStyle w:val="TableParagraph"/>
              <w:ind w:left="337"/>
              <w:rPr>
                <w:sz w:val="20"/>
              </w:rPr>
            </w:pPr>
            <w:r>
              <w:rPr>
                <w:sz w:val="20"/>
              </w:rPr>
              <w:t>6812.90</w:t>
            </w:r>
          </w:p>
        </w:tc>
      </w:tr>
      <w:tr>
        <w:trPr>
          <w:trHeight w:val="229" w:hRule="atLeast"/>
        </w:trPr>
        <w:tc>
          <w:tcPr>
            <w:tcW w:w="5112" w:type="dxa"/>
          </w:tcPr>
          <w:p>
            <w:pPr>
              <w:pStyle w:val="TableParagraph"/>
              <w:rPr>
                <w:sz w:val="20"/>
              </w:rPr>
            </w:pPr>
            <w:r>
              <w:rPr>
                <w:sz w:val="20"/>
              </w:rPr>
              <w:t>12. Gloves</w:t>
            </w:r>
          </w:p>
        </w:tc>
        <w:tc>
          <w:tcPr>
            <w:tcW w:w="1462" w:type="dxa"/>
          </w:tcPr>
          <w:p>
            <w:pPr>
              <w:pStyle w:val="TableParagraph"/>
              <w:ind w:left="338"/>
              <w:rPr>
                <w:sz w:val="20"/>
              </w:rPr>
            </w:pPr>
            <w:r>
              <w:rPr>
                <w:sz w:val="20"/>
              </w:rPr>
              <w:t>6812.50</w:t>
            </w:r>
          </w:p>
        </w:tc>
      </w:tr>
      <w:tr>
        <w:trPr>
          <w:trHeight w:val="230" w:hRule="atLeast"/>
        </w:trPr>
        <w:tc>
          <w:tcPr>
            <w:tcW w:w="5112" w:type="dxa"/>
          </w:tcPr>
          <w:p>
            <w:pPr>
              <w:pStyle w:val="TableParagraph"/>
              <w:rPr>
                <w:sz w:val="20"/>
              </w:rPr>
            </w:pPr>
            <w:r>
              <w:rPr>
                <w:sz w:val="20"/>
              </w:rPr>
              <w:t>13. Asbestos tape</w:t>
            </w:r>
          </w:p>
        </w:tc>
        <w:tc>
          <w:tcPr>
            <w:tcW w:w="1462" w:type="dxa"/>
          </w:tcPr>
          <w:p>
            <w:pPr>
              <w:pStyle w:val="TableParagraph"/>
              <w:ind w:left="338"/>
              <w:rPr>
                <w:sz w:val="20"/>
              </w:rPr>
            </w:pPr>
            <w:r>
              <w:rPr>
                <w:sz w:val="20"/>
              </w:rPr>
              <w:t>6812</w:t>
            </w:r>
          </w:p>
        </w:tc>
      </w:tr>
      <w:tr>
        <w:trPr>
          <w:trHeight w:val="229" w:hRule="atLeast"/>
        </w:trPr>
        <w:tc>
          <w:tcPr>
            <w:tcW w:w="5112" w:type="dxa"/>
          </w:tcPr>
          <w:p>
            <w:pPr>
              <w:pStyle w:val="TableParagraph"/>
              <w:rPr>
                <w:sz w:val="20"/>
              </w:rPr>
            </w:pPr>
            <w:r>
              <w:rPr>
                <w:sz w:val="20"/>
              </w:rPr>
              <w:t>14. Asbestos rope</w:t>
            </w:r>
          </w:p>
        </w:tc>
        <w:tc>
          <w:tcPr>
            <w:tcW w:w="1462" w:type="dxa"/>
          </w:tcPr>
          <w:p>
            <w:pPr>
              <w:pStyle w:val="TableParagraph"/>
              <w:ind w:left="337"/>
              <w:rPr>
                <w:sz w:val="20"/>
              </w:rPr>
            </w:pPr>
            <w:r>
              <w:rPr>
                <w:sz w:val="20"/>
              </w:rPr>
              <w:t>6812.90</w:t>
            </w:r>
          </w:p>
        </w:tc>
      </w:tr>
      <w:tr>
        <w:trPr>
          <w:trHeight w:val="229" w:hRule="atLeast"/>
        </w:trPr>
        <w:tc>
          <w:tcPr>
            <w:tcW w:w="5112" w:type="dxa"/>
          </w:tcPr>
          <w:p>
            <w:pPr>
              <w:pStyle w:val="TableParagraph"/>
              <w:rPr>
                <w:sz w:val="20"/>
              </w:rPr>
            </w:pPr>
            <w:r>
              <w:rPr>
                <w:sz w:val="20"/>
              </w:rPr>
              <w:t>15. Electrical cloth and tapes</w:t>
            </w:r>
          </w:p>
        </w:tc>
        <w:tc>
          <w:tcPr>
            <w:tcW w:w="1462" w:type="dxa"/>
          </w:tcPr>
          <w:p>
            <w:pPr>
              <w:pStyle w:val="TableParagraph"/>
              <w:ind w:left="338"/>
              <w:rPr>
                <w:sz w:val="20"/>
              </w:rPr>
            </w:pPr>
            <w:r>
              <w:rPr>
                <w:sz w:val="20"/>
              </w:rPr>
              <w:t>6812</w:t>
            </w:r>
          </w:p>
        </w:tc>
      </w:tr>
      <w:tr>
        <w:trPr>
          <w:trHeight w:val="230" w:hRule="atLeast"/>
        </w:trPr>
        <w:tc>
          <w:tcPr>
            <w:tcW w:w="5112" w:type="dxa"/>
          </w:tcPr>
          <w:p>
            <w:pPr>
              <w:pStyle w:val="TableParagraph"/>
              <w:rPr>
                <w:sz w:val="20"/>
              </w:rPr>
            </w:pPr>
            <w:r>
              <w:rPr>
                <w:sz w:val="20"/>
              </w:rPr>
              <w:t>16. Yarn and thread, cords and string</w:t>
            </w:r>
          </w:p>
        </w:tc>
        <w:tc>
          <w:tcPr>
            <w:tcW w:w="1462" w:type="dxa"/>
          </w:tcPr>
          <w:p>
            <w:pPr>
              <w:pStyle w:val="TableParagraph"/>
              <w:ind w:left="337"/>
              <w:rPr>
                <w:sz w:val="20"/>
              </w:rPr>
            </w:pPr>
            <w:r>
              <w:rPr>
                <w:sz w:val="20"/>
              </w:rPr>
              <w:t>6812.90</w:t>
            </w:r>
          </w:p>
        </w:tc>
      </w:tr>
      <w:tr>
        <w:trPr>
          <w:trHeight w:val="229" w:hRule="atLeast"/>
        </w:trPr>
        <w:tc>
          <w:tcPr>
            <w:tcW w:w="5112" w:type="dxa"/>
          </w:tcPr>
          <w:p>
            <w:pPr>
              <w:pStyle w:val="TableParagraph"/>
              <w:rPr>
                <w:sz w:val="20"/>
              </w:rPr>
            </w:pPr>
            <w:r>
              <w:rPr>
                <w:sz w:val="20"/>
              </w:rPr>
              <w:t>17. Lagging and jointed materials</w:t>
            </w:r>
          </w:p>
        </w:tc>
        <w:tc>
          <w:tcPr>
            <w:tcW w:w="1462" w:type="dxa"/>
          </w:tcPr>
          <w:p>
            <w:pPr>
              <w:pStyle w:val="TableParagraph"/>
              <w:ind w:left="337"/>
              <w:rPr>
                <w:sz w:val="20"/>
              </w:rPr>
            </w:pPr>
            <w:r>
              <w:rPr>
                <w:sz w:val="20"/>
              </w:rPr>
              <w:t>6812.70</w:t>
            </w:r>
          </w:p>
        </w:tc>
      </w:tr>
      <w:tr>
        <w:trPr>
          <w:trHeight w:val="229" w:hRule="atLeast"/>
        </w:trPr>
        <w:tc>
          <w:tcPr>
            <w:tcW w:w="5112" w:type="dxa"/>
          </w:tcPr>
          <w:p>
            <w:pPr>
              <w:pStyle w:val="TableParagraph"/>
              <w:rPr>
                <w:sz w:val="20"/>
              </w:rPr>
            </w:pPr>
            <w:r>
              <w:rPr>
                <w:sz w:val="20"/>
              </w:rPr>
              <w:t>18. Tiles</w:t>
            </w:r>
          </w:p>
        </w:tc>
        <w:tc>
          <w:tcPr>
            <w:tcW w:w="1462" w:type="dxa"/>
          </w:tcPr>
          <w:p>
            <w:pPr>
              <w:pStyle w:val="TableParagraph"/>
              <w:ind w:left="338"/>
              <w:rPr>
                <w:sz w:val="20"/>
              </w:rPr>
            </w:pPr>
            <w:r>
              <w:rPr>
                <w:sz w:val="20"/>
              </w:rPr>
              <w:t>6811.20</w:t>
            </w:r>
          </w:p>
        </w:tc>
      </w:tr>
      <w:tr>
        <w:trPr>
          <w:trHeight w:val="230" w:hRule="atLeast"/>
        </w:trPr>
        <w:tc>
          <w:tcPr>
            <w:tcW w:w="5112" w:type="dxa"/>
          </w:tcPr>
          <w:p>
            <w:pPr>
              <w:pStyle w:val="TableParagraph"/>
              <w:rPr>
                <w:sz w:val="20"/>
              </w:rPr>
            </w:pPr>
            <w:r>
              <w:rPr>
                <w:sz w:val="20"/>
              </w:rPr>
              <w:t>19. Sheet vinyl backing</w:t>
            </w:r>
          </w:p>
        </w:tc>
        <w:tc>
          <w:tcPr>
            <w:tcW w:w="1462" w:type="dxa"/>
          </w:tcPr>
          <w:p>
            <w:pPr>
              <w:pStyle w:val="TableParagraph"/>
              <w:ind w:left="338"/>
              <w:rPr>
                <w:sz w:val="20"/>
              </w:rPr>
            </w:pPr>
            <w:r>
              <w:rPr>
                <w:sz w:val="20"/>
              </w:rPr>
              <w:t>6812</w:t>
            </w:r>
          </w:p>
        </w:tc>
      </w:tr>
      <w:tr>
        <w:trPr>
          <w:trHeight w:val="229" w:hRule="atLeast"/>
        </w:trPr>
        <w:tc>
          <w:tcPr>
            <w:tcW w:w="5112" w:type="dxa"/>
          </w:tcPr>
          <w:p>
            <w:pPr>
              <w:pStyle w:val="TableParagraph"/>
              <w:rPr>
                <w:sz w:val="20"/>
              </w:rPr>
            </w:pPr>
            <w:r>
              <w:rPr>
                <w:sz w:val="20"/>
              </w:rPr>
              <w:t>20. Textured paints and coatings</w:t>
            </w:r>
          </w:p>
        </w:tc>
        <w:tc>
          <w:tcPr>
            <w:tcW w:w="1462" w:type="dxa"/>
          </w:tcPr>
          <w:p>
            <w:pPr>
              <w:pStyle w:val="TableParagraph"/>
              <w:ind w:left="339"/>
              <w:rPr>
                <w:sz w:val="20"/>
              </w:rPr>
            </w:pPr>
            <w:r>
              <w:rPr>
                <w:sz w:val="20"/>
              </w:rPr>
              <w:t>Chapter 32</w:t>
            </w:r>
          </w:p>
        </w:tc>
      </w:tr>
      <w:tr>
        <w:trPr>
          <w:trHeight w:val="229" w:hRule="atLeast"/>
        </w:trPr>
        <w:tc>
          <w:tcPr>
            <w:tcW w:w="5112" w:type="dxa"/>
          </w:tcPr>
          <w:p>
            <w:pPr>
              <w:pStyle w:val="TableParagraph"/>
              <w:rPr>
                <w:sz w:val="20"/>
              </w:rPr>
            </w:pPr>
            <w:r>
              <w:rPr>
                <w:sz w:val="20"/>
              </w:rPr>
              <w:t>21. Asbestos bitumen products used to damp-proof</w:t>
            </w:r>
          </w:p>
        </w:tc>
        <w:tc>
          <w:tcPr>
            <w:tcW w:w="1462" w:type="dxa"/>
          </w:tcPr>
          <w:p>
            <w:pPr>
              <w:pStyle w:val="TableParagraph"/>
              <w:ind w:left="337"/>
              <w:rPr>
                <w:sz w:val="20"/>
              </w:rPr>
            </w:pPr>
            <w:r>
              <w:rPr>
                <w:sz w:val="20"/>
              </w:rPr>
              <w:t>Chapter 27</w:t>
            </w:r>
          </w:p>
        </w:tc>
      </w:tr>
      <w:tr>
        <w:trPr>
          <w:trHeight w:val="229" w:hRule="atLeast"/>
        </w:trPr>
        <w:tc>
          <w:tcPr>
            <w:tcW w:w="5112" w:type="dxa"/>
          </w:tcPr>
          <w:p>
            <w:pPr>
              <w:pStyle w:val="TableParagraph"/>
              <w:rPr>
                <w:sz w:val="20"/>
              </w:rPr>
            </w:pPr>
            <w:r>
              <w:rPr>
                <w:sz w:val="20"/>
              </w:rPr>
              <w:t>22. Heat resistant sealing or caulking compounds</w:t>
            </w:r>
          </w:p>
        </w:tc>
        <w:tc>
          <w:tcPr>
            <w:tcW w:w="1462" w:type="dxa"/>
          </w:tcPr>
          <w:p>
            <w:pPr>
              <w:pStyle w:val="TableParagraph"/>
              <w:ind w:left="337"/>
              <w:rPr>
                <w:sz w:val="20"/>
              </w:rPr>
            </w:pPr>
            <w:r>
              <w:rPr>
                <w:sz w:val="20"/>
              </w:rPr>
              <w:t>2715</w:t>
            </w:r>
          </w:p>
        </w:tc>
      </w:tr>
      <w:tr>
        <w:trPr>
          <w:trHeight w:val="229" w:hRule="atLeast"/>
        </w:trPr>
        <w:tc>
          <w:tcPr>
            <w:tcW w:w="5112" w:type="dxa"/>
          </w:tcPr>
          <w:p>
            <w:pPr>
              <w:pStyle w:val="TableParagraph"/>
              <w:rPr>
                <w:sz w:val="20"/>
              </w:rPr>
            </w:pPr>
            <w:r>
              <w:rPr>
                <w:sz w:val="20"/>
              </w:rPr>
              <w:t>23. Mastics, sealants, putties or adhesives</w:t>
            </w:r>
          </w:p>
        </w:tc>
        <w:tc>
          <w:tcPr>
            <w:tcW w:w="1462" w:type="dxa"/>
          </w:tcPr>
          <w:p>
            <w:pPr>
              <w:pStyle w:val="TableParagraph"/>
              <w:ind w:left="337"/>
              <w:rPr>
                <w:sz w:val="20"/>
              </w:rPr>
            </w:pPr>
            <w:r>
              <w:rPr>
                <w:sz w:val="20"/>
              </w:rPr>
              <w:t>3214.10</w:t>
            </w:r>
          </w:p>
        </w:tc>
      </w:tr>
      <w:tr>
        <w:trPr>
          <w:trHeight w:val="230" w:hRule="atLeast"/>
        </w:trPr>
        <w:tc>
          <w:tcPr>
            <w:tcW w:w="5112" w:type="dxa"/>
          </w:tcPr>
          <w:p>
            <w:pPr>
              <w:pStyle w:val="TableParagraph"/>
              <w:rPr>
                <w:sz w:val="20"/>
              </w:rPr>
            </w:pPr>
            <w:r>
              <w:rPr>
                <w:sz w:val="20"/>
              </w:rPr>
              <w:t>24. Mixtures containing phenol formaldehyde resin or</w:t>
            </w:r>
          </w:p>
        </w:tc>
        <w:tc>
          <w:tcPr>
            <w:tcW w:w="1462" w:type="dxa"/>
          </w:tcPr>
          <w:p>
            <w:pPr>
              <w:pStyle w:val="TableParagraph"/>
              <w:spacing w:line="240" w:lineRule="auto"/>
              <w:ind w:left="0"/>
              <w:rPr>
                <w:rFonts w:ascii="Times New Roman"/>
                <w:sz w:val="16"/>
              </w:rPr>
            </w:pPr>
          </w:p>
        </w:tc>
      </w:tr>
      <w:tr>
        <w:trPr>
          <w:trHeight w:val="229" w:hRule="atLeast"/>
        </w:trPr>
        <w:tc>
          <w:tcPr>
            <w:tcW w:w="5112" w:type="dxa"/>
          </w:tcPr>
          <w:p>
            <w:pPr>
              <w:pStyle w:val="TableParagraph"/>
              <w:ind w:left="409"/>
              <w:rPr>
                <w:sz w:val="20"/>
              </w:rPr>
            </w:pPr>
            <w:r>
              <w:rPr>
                <w:sz w:val="20"/>
              </w:rPr>
              <w:t>cresylic formaldehyde resin</w:t>
            </w:r>
          </w:p>
        </w:tc>
        <w:tc>
          <w:tcPr>
            <w:tcW w:w="1462" w:type="dxa"/>
          </w:tcPr>
          <w:p>
            <w:pPr>
              <w:pStyle w:val="TableParagraph"/>
              <w:ind w:left="337"/>
              <w:rPr>
                <w:sz w:val="20"/>
              </w:rPr>
            </w:pPr>
            <w:r>
              <w:rPr>
                <w:sz w:val="20"/>
              </w:rPr>
              <w:t>Chapter 39</w:t>
            </w:r>
          </w:p>
        </w:tc>
      </w:tr>
      <w:tr>
        <w:trPr>
          <w:trHeight w:val="229" w:hRule="atLeast"/>
        </w:trPr>
        <w:tc>
          <w:tcPr>
            <w:tcW w:w="5112" w:type="dxa"/>
          </w:tcPr>
          <w:p>
            <w:pPr>
              <w:pStyle w:val="TableParagraph"/>
              <w:rPr>
                <w:sz w:val="20"/>
              </w:rPr>
            </w:pPr>
            <w:r>
              <w:rPr>
                <w:sz w:val="20"/>
              </w:rPr>
              <w:t>25. Diaphragms</w:t>
            </w:r>
          </w:p>
        </w:tc>
        <w:tc>
          <w:tcPr>
            <w:tcW w:w="1462" w:type="dxa"/>
          </w:tcPr>
          <w:p>
            <w:pPr>
              <w:pStyle w:val="TableParagraph"/>
              <w:ind w:left="337"/>
              <w:rPr>
                <w:sz w:val="20"/>
              </w:rPr>
            </w:pPr>
            <w:r>
              <w:rPr>
                <w:sz w:val="20"/>
              </w:rPr>
              <w:t>6812.90</w:t>
            </w:r>
          </w:p>
        </w:tc>
      </w:tr>
      <w:tr>
        <w:trPr>
          <w:trHeight w:val="227" w:hRule="atLeast"/>
        </w:trPr>
        <w:tc>
          <w:tcPr>
            <w:tcW w:w="5112" w:type="dxa"/>
          </w:tcPr>
          <w:p>
            <w:pPr>
              <w:pStyle w:val="TableParagraph"/>
              <w:spacing w:line="207" w:lineRule="exact"/>
              <w:rPr>
                <w:sz w:val="20"/>
              </w:rPr>
            </w:pPr>
            <w:r>
              <w:rPr>
                <w:sz w:val="20"/>
              </w:rPr>
              <w:t>26. Raw materials from mining activities</w:t>
            </w:r>
          </w:p>
        </w:tc>
        <w:tc>
          <w:tcPr>
            <w:tcW w:w="1462" w:type="dxa"/>
          </w:tcPr>
          <w:p>
            <w:pPr>
              <w:pStyle w:val="TableParagraph"/>
              <w:spacing w:line="207" w:lineRule="exact"/>
              <w:ind w:left="338"/>
              <w:rPr>
                <w:sz w:val="20"/>
              </w:rPr>
            </w:pPr>
            <w:r>
              <w:rPr>
                <w:sz w:val="20"/>
              </w:rPr>
              <w:t>2524.00</w:t>
            </w:r>
          </w:p>
        </w:tc>
      </w:tr>
    </w:tbl>
    <w:p>
      <w:pPr>
        <w:pStyle w:val="BodyText"/>
        <w:spacing w:before="11"/>
        <w:rPr>
          <w:sz w:val="19"/>
        </w:rPr>
      </w:pPr>
    </w:p>
    <w:p>
      <w:pPr>
        <w:pStyle w:val="BodyText"/>
        <w:ind w:left="140" w:right="1205"/>
      </w:pPr>
      <w:r>
        <w:rPr/>
        <w:t>In some instances, it is possible that the goods listed above could be classified to other headings of the Customs Tariff. If in doubt about where your goods should be classified as the basis for whether they are subject to import controls on asbestos, please complete “B102 - Application for Tariff Advice” form available on the Customs website at </w:t>
      </w:r>
      <w:hyperlink r:id="rId7">
        <w:r>
          <w:rPr>
            <w:color w:val="0000FF"/>
            <w:u w:val="single" w:color="0000FF"/>
          </w:rPr>
          <w:t>www.customs.gov.au</w:t>
        </w:r>
      </w:hyperlink>
      <w:r>
        <w:rPr/>
        <w:t>. This form should be forwarded to the Customs Manager of Tariff and Evaluation in the port of importation.</w:t>
      </w:r>
    </w:p>
    <w:p>
      <w:pPr>
        <w:spacing w:after="0"/>
        <w:sectPr>
          <w:pgSz w:w="11900" w:h="16840"/>
          <w:pgMar w:top="1360" w:bottom="280" w:left="1660" w:right="1660"/>
        </w:sectPr>
      </w:pPr>
    </w:p>
    <w:p>
      <w:pPr>
        <w:pStyle w:val="Heading1"/>
        <w:spacing w:before="78"/>
      </w:pPr>
      <w:r>
        <w:rPr/>
        <w:t>Attachment B</w:t>
      </w:r>
    </w:p>
    <w:p>
      <w:pPr>
        <w:pStyle w:val="BodyText"/>
        <w:spacing w:before="10"/>
        <w:rPr>
          <w:b/>
          <w:sz w:val="19"/>
        </w:rPr>
      </w:pPr>
    </w:p>
    <w:p>
      <w:pPr>
        <w:pStyle w:val="BodyText"/>
        <w:ind w:left="140" w:right="416"/>
      </w:pPr>
      <w:r>
        <w:rPr/>
        <w:t>Part 2 of Schedule 3B to the PI Regulations lists the specific purposes for which goods containing chrysotile may be used. The SSRCA, the SRCC or the relevant State/Territory OH&amp;S authority must confirm that goods are going to be for one of these purposes:</w:t>
      </w:r>
    </w:p>
    <w:p>
      <w:pPr>
        <w:pStyle w:val="BodyText"/>
        <w:rPr>
          <w:sz w:val="22"/>
        </w:rPr>
      </w:pPr>
    </w:p>
    <w:p>
      <w:pPr>
        <w:pStyle w:val="BodyText"/>
        <w:spacing w:before="2"/>
        <w:rPr>
          <w:sz w:val="18"/>
        </w:rPr>
      </w:pPr>
    </w:p>
    <w:p>
      <w:pPr>
        <w:pStyle w:val="Heading1"/>
        <w:spacing w:before="0"/>
        <w:ind w:left="1223" w:right="1218"/>
        <w:jc w:val="center"/>
      </w:pPr>
      <w:r>
        <w:rPr/>
        <w:t>Permitted importation of asbestos</w:t>
      </w:r>
    </w:p>
    <w:p>
      <w:pPr>
        <w:pStyle w:val="BodyText"/>
        <w:spacing w:before="10"/>
        <w:rPr>
          <w:b/>
          <w:sz w:val="19"/>
        </w:rPr>
      </w:pPr>
    </w:p>
    <w:p>
      <w:pPr>
        <w:pStyle w:val="ListParagraph"/>
        <w:numPr>
          <w:ilvl w:val="0"/>
          <w:numId w:val="4"/>
        </w:numPr>
        <w:tabs>
          <w:tab w:pos="861" w:val="left" w:leader="none"/>
        </w:tabs>
        <w:spacing w:line="240" w:lineRule="auto" w:before="0" w:after="0"/>
        <w:ind w:left="860" w:right="0" w:hanging="362"/>
        <w:jc w:val="left"/>
        <w:rPr>
          <w:sz w:val="20"/>
        </w:rPr>
      </w:pPr>
      <w:r>
        <w:rPr>
          <w:sz w:val="20"/>
        </w:rPr>
        <w:t>Use of chrysotile in compressed asbestos fibre gaskets that</w:t>
      </w:r>
      <w:r>
        <w:rPr>
          <w:spacing w:val="-9"/>
          <w:sz w:val="20"/>
        </w:rPr>
        <w:t> </w:t>
      </w:r>
      <w:r>
        <w:rPr>
          <w:sz w:val="20"/>
        </w:rPr>
        <w:t>is:</w:t>
      </w:r>
    </w:p>
    <w:p>
      <w:pPr>
        <w:pStyle w:val="ListParagraph"/>
        <w:numPr>
          <w:ilvl w:val="1"/>
          <w:numId w:val="4"/>
        </w:numPr>
        <w:tabs>
          <w:tab w:pos="1221" w:val="left" w:leader="none"/>
        </w:tabs>
        <w:spacing w:line="230" w:lineRule="exact" w:before="0" w:after="0"/>
        <w:ind w:left="1220" w:right="0" w:hanging="361"/>
        <w:jc w:val="left"/>
        <w:rPr>
          <w:sz w:val="20"/>
        </w:rPr>
      </w:pPr>
      <w:r>
        <w:rPr>
          <w:sz w:val="20"/>
        </w:rPr>
        <w:t>for use</w:t>
      </w:r>
      <w:r>
        <w:rPr>
          <w:spacing w:val="-4"/>
          <w:sz w:val="20"/>
        </w:rPr>
        <w:t> </w:t>
      </w:r>
      <w:r>
        <w:rPr>
          <w:sz w:val="20"/>
        </w:rPr>
        <w:t>with:</w:t>
      </w:r>
    </w:p>
    <w:p>
      <w:pPr>
        <w:pStyle w:val="ListParagraph"/>
        <w:numPr>
          <w:ilvl w:val="2"/>
          <w:numId w:val="4"/>
        </w:numPr>
        <w:tabs>
          <w:tab w:pos="2071" w:val="left" w:leader="none"/>
          <w:tab w:pos="2072" w:val="left" w:leader="none"/>
        </w:tabs>
        <w:spacing w:line="230" w:lineRule="exact" w:before="0" w:after="0"/>
        <w:ind w:left="2071" w:right="0" w:hanging="722"/>
        <w:jc w:val="left"/>
        <w:rPr>
          <w:sz w:val="20"/>
        </w:rPr>
      </w:pPr>
      <w:r>
        <w:rPr>
          <w:sz w:val="20"/>
        </w:rPr>
        <w:t>saturated steam;</w:t>
      </w:r>
      <w:r>
        <w:rPr>
          <w:spacing w:val="-3"/>
          <w:sz w:val="20"/>
        </w:rPr>
        <w:t> </w:t>
      </w:r>
      <w:r>
        <w:rPr>
          <w:sz w:val="20"/>
        </w:rPr>
        <w:t>or</w:t>
      </w:r>
    </w:p>
    <w:p>
      <w:pPr>
        <w:pStyle w:val="ListParagraph"/>
        <w:numPr>
          <w:ilvl w:val="2"/>
          <w:numId w:val="4"/>
        </w:numPr>
        <w:tabs>
          <w:tab w:pos="2071" w:val="left" w:leader="none"/>
          <w:tab w:pos="2072" w:val="left" w:leader="none"/>
        </w:tabs>
        <w:spacing w:line="230" w:lineRule="exact" w:before="1" w:after="0"/>
        <w:ind w:left="2071" w:right="0" w:hanging="722"/>
        <w:jc w:val="left"/>
        <w:rPr>
          <w:sz w:val="20"/>
        </w:rPr>
      </w:pPr>
      <w:r>
        <w:rPr>
          <w:sz w:val="20"/>
        </w:rPr>
        <w:t>superheated steam;</w:t>
      </w:r>
      <w:r>
        <w:rPr>
          <w:spacing w:val="-4"/>
          <w:sz w:val="20"/>
        </w:rPr>
        <w:t> </w:t>
      </w:r>
      <w:r>
        <w:rPr>
          <w:sz w:val="20"/>
        </w:rPr>
        <w:t>or</w:t>
      </w:r>
    </w:p>
    <w:p>
      <w:pPr>
        <w:pStyle w:val="ListParagraph"/>
        <w:numPr>
          <w:ilvl w:val="2"/>
          <w:numId w:val="4"/>
        </w:numPr>
        <w:tabs>
          <w:tab w:pos="2071" w:val="left" w:leader="none"/>
          <w:tab w:pos="2072" w:val="left" w:leader="none"/>
        </w:tabs>
        <w:spacing w:line="230" w:lineRule="exact" w:before="0" w:after="0"/>
        <w:ind w:left="2071" w:right="0" w:hanging="722"/>
        <w:jc w:val="left"/>
        <w:rPr>
          <w:sz w:val="20"/>
        </w:rPr>
      </w:pPr>
      <w:r>
        <w:rPr>
          <w:sz w:val="20"/>
        </w:rPr>
        <w:t>substances that are classified as dangerous goods;</w:t>
      </w:r>
      <w:r>
        <w:rPr>
          <w:spacing w:val="-14"/>
          <w:sz w:val="20"/>
        </w:rPr>
        <w:t> </w:t>
      </w:r>
      <w:r>
        <w:rPr>
          <w:sz w:val="20"/>
        </w:rPr>
        <w:t>or</w:t>
      </w:r>
    </w:p>
    <w:p>
      <w:pPr>
        <w:pStyle w:val="ListParagraph"/>
        <w:numPr>
          <w:ilvl w:val="1"/>
          <w:numId w:val="4"/>
        </w:numPr>
        <w:tabs>
          <w:tab w:pos="1221" w:val="left" w:leader="none"/>
        </w:tabs>
        <w:spacing w:line="240" w:lineRule="auto" w:before="0" w:after="0"/>
        <w:ind w:left="1220" w:right="235" w:hanging="360"/>
        <w:jc w:val="left"/>
        <w:rPr>
          <w:sz w:val="20"/>
        </w:rPr>
      </w:pPr>
      <w:r>
        <w:rPr>
          <w:sz w:val="20"/>
        </w:rPr>
        <w:t>for use with chlorine in a plant used in liquid chlorine service with design</w:t>
      </w:r>
      <w:r>
        <w:rPr>
          <w:spacing w:val="-24"/>
          <w:sz w:val="20"/>
        </w:rPr>
        <w:t> </w:t>
      </w:r>
      <w:r>
        <w:rPr>
          <w:sz w:val="20"/>
        </w:rPr>
        <w:t>process conditions of –45ºC and 1500</w:t>
      </w:r>
      <w:r>
        <w:rPr>
          <w:spacing w:val="-5"/>
          <w:sz w:val="20"/>
        </w:rPr>
        <w:t> </w:t>
      </w:r>
      <w:r>
        <w:rPr>
          <w:sz w:val="20"/>
        </w:rPr>
        <w:t>kPa.</w:t>
      </w:r>
    </w:p>
    <w:p>
      <w:pPr>
        <w:pStyle w:val="BodyText"/>
        <w:spacing w:before="1"/>
      </w:pPr>
    </w:p>
    <w:p>
      <w:pPr>
        <w:pStyle w:val="Heading1"/>
        <w:spacing w:before="1"/>
        <w:ind w:left="4144" w:right="132" w:firstLine="10"/>
        <w:jc w:val="right"/>
      </w:pPr>
      <w:r>
        <w:rPr/>
        <w:t>Exemption 1(a) expires on 31 December 2004</w:t>
      </w:r>
      <w:r>
        <w:rPr>
          <w:w w:val="100"/>
        </w:rPr>
        <w:t> </w:t>
      </w:r>
      <w:r>
        <w:rPr/>
        <w:t>Exemption 1(b) expires on 31 December 2006</w:t>
      </w:r>
    </w:p>
    <w:p>
      <w:pPr>
        <w:pStyle w:val="BodyText"/>
        <w:rPr>
          <w:b/>
          <w:sz w:val="22"/>
        </w:rPr>
      </w:pPr>
    </w:p>
    <w:p>
      <w:pPr>
        <w:pStyle w:val="BodyText"/>
        <w:spacing w:before="10"/>
        <w:rPr>
          <w:b/>
          <w:sz w:val="17"/>
        </w:rPr>
      </w:pPr>
    </w:p>
    <w:p>
      <w:pPr>
        <w:pStyle w:val="ListParagraph"/>
        <w:numPr>
          <w:ilvl w:val="0"/>
          <w:numId w:val="4"/>
        </w:numPr>
        <w:tabs>
          <w:tab w:pos="861" w:val="left" w:leader="none"/>
        </w:tabs>
        <w:spacing w:line="240" w:lineRule="auto" w:before="0" w:after="0"/>
        <w:ind w:left="860" w:right="560" w:hanging="360"/>
        <w:jc w:val="left"/>
        <w:rPr>
          <w:sz w:val="20"/>
        </w:rPr>
      </w:pPr>
      <w:r>
        <w:rPr>
          <w:sz w:val="20"/>
        </w:rPr>
        <w:t>Use of chrysotile in a product that consists of a mixture of asbestos with a</w:t>
      </w:r>
      <w:r>
        <w:rPr>
          <w:spacing w:val="-19"/>
          <w:sz w:val="20"/>
        </w:rPr>
        <w:t> </w:t>
      </w:r>
      <w:r>
        <w:rPr>
          <w:sz w:val="20"/>
        </w:rPr>
        <w:t>phenol formaldehyde resin or with a cresylic formaldehyde resin used</w:t>
      </w:r>
      <w:r>
        <w:rPr>
          <w:spacing w:val="-12"/>
          <w:sz w:val="20"/>
        </w:rPr>
        <w:t> </w:t>
      </w:r>
      <w:r>
        <w:rPr>
          <w:sz w:val="20"/>
        </w:rPr>
        <w:t>in:</w:t>
      </w:r>
    </w:p>
    <w:p>
      <w:pPr>
        <w:pStyle w:val="ListParagraph"/>
        <w:numPr>
          <w:ilvl w:val="1"/>
          <w:numId w:val="4"/>
        </w:numPr>
        <w:tabs>
          <w:tab w:pos="1221" w:val="left" w:leader="none"/>
        </w:tabs>
        <w:spacing w:line="230" w:lineRule="exact" w:before="0" w:after="0"/>
        <w:ind w:left="1220" w:right="0" w:hanging="361"/>
        <w:jc w:val="left"/>
        <w:rPr>
          <w:sz w:val="20"/>
        </w:rPr>
      </w:pPr>
      <w:r>
        <w:rPr>
          <w:sz w:val="20"/>
        </w:rPr>
        <w:t>a vane for rotary vacuum pumps;</w:t>
      </w:r>
      <w:r>
        <w:rPr>
          <w:spacing w:val="-8"/>
          <w:sz w:val="20"/>
        </w:rPr>
        <w:t> </w:t>
      </w:r>
      <w:r>
        <w:rPr>
          <w:sz w:val="20"/>
        </w:rPr>
        <w:t>or</w:t>
      </w:r>
    </w:p>
    <w:p>
      <w:pPr>
        <w:pStyle w:val="ListParagraph"/>
        <w:numPr>
          <w:ilvl w:val="1"/>
          <w:numId w:val="4"/>
        </w:numPr>
        <w:tabs>
          <w:tab w:pos="1221" w:val="left" w:leader="none"/>
        </w:tabs>
        <w:spacing w:line="230" w:lineRule="exact" w:before="1" w:after="0"/>
        <w:ind w:left="1220" w:right="0" w:hanging="361"/>
        <w:jc w:val="left"/>
        <w:rPr>
          <w:sz w:val="20"/>
        </w:rPr>
      </w:pPr>
      <w:r>
        <w:rPr>
          <w:sz w:val="20"/>
        </w:rPr>
        <w:t>a vane for rotary compressors;</w:t>
      </w:r>
      <w:r>
        <w:rPr>
          <w:spacing w:val="-6"/>
          <w:sz w:val="20"/>
        </w:rPr>
        <w:t> </w:t>
      </w:r>
      <w:r>
        <w:rPr>
          <w:sz w:val="20"/>
        </w:rPr>
        <w:t>or</w:t>
      </w:r>
    </w:p>
    <w:p>
      <w:pPr>
        <w:pStyle w:val="ListParagraph"/>
        <w:numPr>
          <w:ilvl w:val="1"/>
          <w:numId w:val="4"/>
        </w:numPr>
        <w:tabs>
          <w:tab w:pos="1221" w:val="left" w:leader="none"/>
        </w:tabs>
        <w:spacing w:line="240" w:lineRule="auto" w:before="0" w:after="0"/>
        <w:ind w:left="1220" w:right="337" w:hanging="360"/>
        <w:jc w:val="left"/>
        <w:rPr>
          <w:sz w:val="20"/>
        </w:rPr>
      </w:pPr>
      <w:r>
        <w:rPr>
          <w:sz w:val="20"/>
        </w:rPr>
        <w:t>a</w:t>
      </w:r>
      <w:r>
        <w:rPr>
          <w:spacing w:val="-4"/>
          <w:sz w:val="20"/>
        </w:rPr>
        <w:t> </w:t>
      </w:r>
      <w:r>
        <w:rPr>
          <w:sz w:val="20"/>
        </w:rPr>
        <w:t>split</w:t>
      </w:r>
      <w:r>
        <w:rPr>
          <w:spacing w:val="-4"/>
          <w:sz w:val="20"/>
        </w:rPr>
        <w:t> </w:t>
      </w:r>
      <w:r>
        <w:rPr>
          <w:sz w:val="20"/>
        </w:rPr>
        <w:t>face</w:t>
      </w:r>
      <w:r>
        <w:rPr>
          <w:spacing w:val="-4"/>
          <w:sz w:val="20"/>
        </w:rPr>
        <w:t> </w:t>
      </w:r>
      <w:r>
        <w:rPr>
          <w:sz w:val="20"/>
        </w:rPr>
        <w:t>seal</w:t>
      </w:r>
      <w:r>
        <w:rPr>
          <w:spacing w:val="-4"/>
          <w:sz w:val="20"/>
        </w:rPr>
        <w:t> </w:t>
      </w:r>
      <w:r>
        <w:rPr>
          <w:sz w:val="20"/>
        </w:rPr>
        <w:t>of</w:t>
      </w:r>
      <w:r>
        <w:rPr>
          <w:spacing w:val="-4"/>
          <w:sz w:val="20"/>
        </w:rPr>
        <w:t> </w:t>
      </w:r>
      <w:r>
        <w:rPr>
          <w:sz w:val="20"/>
        </w:rPr>
        <w:t>at</w:t>
      </w:r>
      <w:r>
        <w:rPr>
          <w:spacing w:val="-3"/>
          <w:sz w:val="20"/>
        </w:rPr>
        <w:t> </w:t>
      </w:r>
      <w:r>
        <w:rPr>
          <w:sz w:val="20"/>
        </w:rPr>
        <w:t>least</w:t>
      </w:r>
      <w:r>
        <w:rPr>
          <w:spacing w:val="-4"/>
          <w:sz w:val="20"/>
        </w:rPr>
        <w:t> </w:t>
      </w:r>
      <w:r>
        <w:rPr>
          <w:sz w:val="20"/>
        </w:rPr>
        <w:t>150mm</w:t>
      </w:r>
      <w:r>
        <w:rPr>
          <w:spacing w:val="-4"/>
          <w:sz w:val="20"/>
        </w:rPr>
        <w:t> </w:t>
      </w:r>
      <w:r>
        <w:rPr>
          <w:sz w:val="20"/>
        </w:rPr>
        <w:t>in</w:t>
      </w:r>
      <w:r>
        <w:rPr>
          <w:spacing w:val="-3"/>
          <w:sz w:val="20"/>
        </w:rPr>
        <w:t> </w:t>
      </w:r>
      <w:r>
        <w:rPr>
          <w:sz w:val="20"/>
        </w:rPr>
        <w:t>diameter</w:t>
      </w:r>
      <w:r>
        <w:rPr>
          <w:spacing w:val="-4"/>
          <w:sz w:val="20"/>
        </w:rPr>
        <w:t> </w:t>
      </w:r>
      <w:r>
        <w:rPr>
          <w:sz w:val="20"/>
        </w:rPr>
        <w:t>used</w:t>
      </w:r>
      <w:r>
        <w:rPr>
          <w:spacing w:val="-4"/>
          <w:sz w:val="20"/>
        </w:rPr>
        <w:t> </w:t>
      </w:r>
      <w:r>
        <w:rPr>
          <w:sz w:val="20"/>
        </w:rPr>
        <w:t>to</w:t>
      </w:r>
      <w:r>
        <w:rPr>
          <w:spacing w:val="-4"/>
          <w:sz w:val="20"/>
        </w:rPr>
        <w:t> </w:t>
      </w:r>
      <w:r>
        <w:rPr>
          <w:sz w:val="20"/>
        </w:rPr>
        <w:t>prevent</w:t>
      </w:r>
      <w:r>
        <w:rPr>
          <w:spacing w:val="-4"/>
          <w:sz w:val="20"/>
        </w:rPr>
        <w:t> </w:t>
      </w:r>
      <w:r>
        <w:rPr>
          <w:sz w:val="20"/>
        </w:rPr>
        <w:t>leakage</w:t>
      </w:r>
      <w:r>
        <w:rPr>
          <w:spacing w:val="-4"/>
          <w:sz w:val="20"/>
        </w:rPr>
        <w:t> </w:t>
      </w:r>
      <w:r>
        <w:rPr>
          <w:sz w:val="20"/>
        </w:rPr>
        <w:t>of</w:t>
      </w:r>
      <w:r>
        <w:rPr>
          <w:spacing w:val="-3"/>
          <w:sz w:val="20"/>
        </w:rPr>
        <w:t> </w:t>
      </w:r>
      <w:r>
        <w:rPr>
          <w:sz w:val="20"/>
        </w:rPr>
        <w:t>water from cooling water pumps in fossil fuel electricity generating</w:t>
      </w:r>
      <w:r>
        <w:rPr>
          <w:spacing w:val="-14"/>
          <w:sz w:val="20"/>
        </w:rPr>
        <w:t> </w:t>
      </w:r>
      <w:r>
        <w:rPr>
          <w:sz w:val="20"/>
        </w:rPr>
        <w:t>stations.</w:t>
      </w:r>
    </w:p>
    <w:p>
      <w:pPr>
        <w:pStyle w:val="BodyText"/>
      </w:pPr>
    </w:p>
    <w:p>
      <w:pPr>
        <w:pStyle w:val="Heading1"/>
        <w:spacing w:before="1"/>
        <w:ind w:left="0" w:right="131"/>
        <w:jc w:val="right"/>
      </w:pPr>
      <w:r>
        <w:rPr/>
        <w:t>Exemption expires on 31 December 2007</w:t>
      </w:r>
    </w:p>
    <w:p>
      <w:pPr>
        <w:pStyle w:val="BodyText"/>
        <w:rPr>
          <w:b/>
          <w:sz w:val="22"/>
        </w:rPr>
      </w:pPr>
    </w:p>
    <w:p>
      <w:pPr>
        <w:pStyle w:val="BodyText"/>
        <w:spacing w:before="10"/>
        <w:rPr>
          <w:b/>
          <w:sz w:val="17"/>
        </w:rPr>
      </w:pPr>
    </w:p>
    <w:p>
      <w:pPr>
        <w:pStyle w:val="ListParagraph"/>
        <w:numPr>
          <w:ilvl w:val="0"/>
          <w:numId w:val="4"/>
        </w:numPr>
        <w:tabs>
          <w:tab w:pos="861" w:val="left" w:leader="none"/>
        </w:tabs>
        <w:spacing w:line="240" w:lineRule="auto" w:before="0" w:after="0"/>
        <w:ind w:left="860" w:right="359" w:hanging="360"/>
        <w:jc w:val="left"/>
        <w:rPr>
          <w:sz w:val="20"/>
        </w:rPr>
      </w:pPr>
      <w:r>
        <w:rPr>
          <w:sz w:val="20"/>
        </w:rPr>
        <w:t>Use of chrysotile in a diaphragm for use in electrolytic cell in an existing electrolysis plant for chlor-alkali</w:t>
      </w:r>
      <w:r>
        <w:rPr>
          <w:spacing w:val="-4"/>
          <w:sz w:val="20"/>
        </w:rPr>
        <w:t> </w:t>
      </w:r>
      <w:r>
        <w:rPr>
          <w:sz w:val="20"/>
        </w:rPr>
        <w:t>manufacture.</w:t>
      </w:r>
    </w:p>
    <w:p>
      <w:pPr>
        <w:pStyle w:val="BodyText"/>
        <w:spacing w:before="1"/>
      </w:pPr>
    </w:p>
    <w:p>
      <w:pPr>
        <w:pStyle w:val="Heading1"/>
        <w:spacing w:before="0"/>
        <w:ind w:left="0" w:right="131"/>
        <w:jc w:val="right"/>
      </w:pPr>
      <w:r>
        <w:rPr/>
        <w:t>Exemption expires on 31 December 2006</w:t>
      </w:r>
    </w:p>
    <w:p>
      <w:pPr>
        <w:pStyle w:val="BodyText"/>
        <w:rPr>
          <w:b/>
          <w:sz w:val="22"/>
        </w:rPr>
      </w:pPr>
    </w:p>
    <w:p>
      <w:pPr>
        <w:pStyle w:val="BodyText"/>
        <w:spacing w:before="10"/>
        <w:rPr>
          <w:b/>
          <w:sz w:val="17"/>
        </w:rPr>
      </w:pPr>
    </w:p>
    <w:p>
      <w:pPr>
        <w:pStyle w:val="ListParagraph"/>
        <w:numPr>
          <w:ilvl w:val="0"/>
          <w:numId w:val="4"/>
        </w:numPr>
        <w:tabs>
          <w:tab w:pos="861" w:val="left" w:leader="none"/>
        </w:tabs>
        <w:spacing w:line="240" w:lineRule="auto" w:before="1" w:after="0"/>
        <w:ind w:left="860" w:right="260" w:hanging="360"/>
        <w:jc w:val="left"/>
        <w:rPr>
          <w:sz w:val="20"/>
        </w:rPr>
      </w:pPr>
      <w:r>
        <w:rPr>
          <w:sz w:val="20"/>
        </w:rPr>
        <w:t>Use by the Department of Defence or the Australian Defence Force of chrysotile in</w:t>
      </w:r>
      <w:r>
        <w:rPr>
          <w:spacing w:val="-33"/>
          <w:sz w:val="20"/>
        </w:rPr>
        <w:t> </w:t>
      </w:r>
      <w:r>
        <w:rPr>
          <w:sz w:val="20"/>
        </w:rPr>
        <w:t>a part or component of a plant,</w:t>
      </w:r>
      <w:r>
        <w:rPr>
          <w:spacing w:val="-9"/>
          <w:sz w:val="20"/>
        </w:rPr>
        <w:t> </w:t>
      </w:r>
      <w:r>
        <w:rPr>
          <w:sz w:val="20"/>
        </w:rPr>
        <w:t>if:</w:t>
      </w:r>
    </w:p>
    <w:p>
      <w:pPr>
        <w:pStyle w:val="ListParagraph"/>
        <w:numPr>
          <w:ilvl w:val="1"/>
          <w:numId w:val="4"/>
        </w:numPr>
        <w:tabs>
          <w:tab w:pos="1220" w:val="left" w:leader="none"/>
        </w:tabs>
        <w:spacing w:line="240" w:lineRule="auto" w:before="0" w:after="0"/>
        <w:ind w:left="1220" w:right="154" w:hanging="361"/>
        <w:jc w:val="left"/>
        <w:rPr>
          <w:sz w:val="20"/>
        </w:rPr>
      </w:pPr>
      <w:r>
        <w:rPr>
          <w:sz w:val="20"/>
        </w:rPr>
        <w:t>the</w:t>
      </w:r>
      <w:r>
        <w:rPr>
          <w:spacing w:val="-5"/>
          <w:sz w:val="20"/>
        </w:rPr>
        <w:t> </w:t>
      </w:r>
      <w:r>
        <w:rPr>
          <w:sz w:val="20"/>
        </w:rPr>
        <w:t>unavailability</w:t>
      </w:r>
      <w:r>
        <w:rPr>
          <w:spacing w:val="-5"/>
          <w:sz w:val="20"/>
        </w:rPr>
        <w:t> </w:t>
      </w:r>
      <w:r>
        <w:rPr>
          <w:sz w:val="20"/>
        </w:rPr>
        <w:t>of</w:t>
      </w:r>
      <w:r>
        <w:rPr>
          <w:spacing w:val="-4"/>
          <w:sz w:val="20"/>
        </w:rPr>
        <w:t> </w:t>
      </w:r>
      <w:r>
        <w:rPr>
          <w:sz w:val="20"/>
        </w:rPr>
        <w:t>the</w:t>
      </w:r>
      <w:r>
        <w:rPr>
          <w:spacing w:val="-5"/>
          <w:sz w:val="20"/>
        </w:rPr>
        <w:t> </w:t>
      </w:r>
      <w:r>
        <w:rPr>
          <w:sz w:val="20"/>
        </w:rPr>
        <w:t>part</w:t>
      </w:r>
      <w:r>
        <w:rPr>
          <w:spacing w:val="-5"/>
          <w:sz w:val="20"/>
        </w:rPr>
        <w:t> </w:t>
      </w:r>
      <w:r>
        <w:rPr>
          <w:sz w:val="20"/>
        </w:rPr>
        <w:t>or</w:t>
      </w:r>
      <w:r>
        <w:rPr>
          <w:spacing w:val="-5"/>
          <w:sz w:val="20"/>
        </w:rPr>
        <w:t> </w:t>
      </w:r>
      <w:r>
        <w:rPr>
          <w:sz w:val="20"/>
        </w:rPr>
        <w:t>component</w:t>
      </w:r>
      <w:r>
        <w:rPr>
          <w:spacing w:val="-5"/>
          <w:sz w:val="20"/>
        </w:rPr>
        <w:t> </w:t>
      </w:r>
      <w:r>
        <w:rPr>
          <w:sz w:val="20"/>
        </w:rPr>
        <w:t>prevents</w:t>
      </w:r>
      <w:r>
        <w:rPr>
          <w:spacing w:val="-5"/>
          <w:sz w:val="20"/>
        </w:rPr>
        <w:t> </w:t>
      </w:r>
      <w:r>
        <w:rPr>
          <w:sz w:val="20"/>
        </w:rPr>
        <w:t>the</w:t>
      </w:r>
      <w:r>
        <w:rPr>
          <w:spacing w:val="-5"/>
          <w:sz w:val="20"/>
        </w:rPr>
        <w:t> </w:t>
      </w:r>
      <w:r>
        <w:rPr>
          <w:sz w:val="20"/>
        </w:rPr>
        <w:t>plant</w:t>
      </w:r>
      <w:r>
        <w:rPr>
          <w:spacing w:val="-5"/>
          <w:sz w:val="20"/>
        </w:rPr>
        <w:t> </w:t>
      </w:r>
      <w:r>
        <w:rPr>
          <w:sz w:val="20"/>
        </w:rPr>
        <w:t>from</w:t>
      </w:r>
      <w:r>
        <w:rPr>
          <w:spacing w:val="-5"/>
          <w:sz w:val="20"/>
        </w:rPr>
        <w:t> </w:t>
      </w:r>
      <w:r>
        <w:rPr>
          <w:sz w:val="20"/>
        </w:rPr>
        <w:t>being</w:t>
      </w:r>
      <w:r>
        <w:rPr>
          <w:spacing w:val="-5"/>
          <w:sz w:val="20"/>
        </w:rPr>
        <w:t> </w:t>
      </w:r>
      <w:r>
        <w:rPr>
          <w:sz w:val="20"/>
        </w:rPr>
        <w:t>available for use;</w:t>
      </w:r>
      <w:r>
        <w:rPr>
          <w:spacing w:val="-2"/>
          <w:sz w:val="20"/>
        </w:rPr>
        <w:t> </w:t>
      </w:r>
      <w:r>
        <w:rPr>
          <w:sz w:val="20"/>
        </w:rPr>
        <w:t>and</w:t>
      </w:r>
    </w:p>
    <w:p>
      <w:pPr>
        <w:pStyle w:val="ListParagraph"/>
        <w:numPr>
          <w:ilvl w:val="1"/>
          <w:numId w:val="4"/>
        </w:numPr>
        <w:tabs>
          <w:tab w:pos="1220" w:val="left" w:leader="none"/>
        </w:tabs>
        <w:spacing w:line="230" w:lineRule="exact" w:before="0" w:after="0"/>
        <w:ind w:left="1219" w:right="0" w:hanging="360"/>
        <w:jc w:val="left"/>
        <w:rPr>
          <w:sz w:val="20"/>
        </w:rPr>
      </w:pPr>
      <w:r>
        <w:rPr>
          <w:sz w:val="20"/>
        </w:rPr>
        <w:t>the unavailability of the plant prevents a mission from being undertaken;</w:t>
      </w:r>
      <w:r>
        <w:rPr>
          <w:spacing w:val="-25"/>
          <w:sz w:val="20"/>
        </w:rPr>
        <w:t> </w:t>
      </w:r>
      <w:r>
        <w:rPr>
          <w:sz w:val="20"/>
        </w:rPr>
        <w:t>and</w:t>
      </w:r>
    </w:p>
    <w:p>
      <w:pPr>
        <w:pStyle w:val="ListParagraph"/>
        <w:numPr>
          <w:ilvl w:val="1"/>
          <w:numId w:val="4"/>
        </w:numPr>
        <w:tabs>
          <w:tab w:pos="1221" w:val="left" w:leader="none"/>
        </w:tabs>
        <w:spacing w:line="230" w:lineRule="exact" w:before="0" w:after="0"/>
        <w:ind w:left="1220" w:right="0" w:hanging="361"/>
        <w:jc w:val="left"/>
        <w:rPr>
          <w:sz w:val="20"/>
        </w:rPr>
      </w:pPr>
      <w:r>
        <w:rPr>
          <w:sz w:val="20"/>
        </w:rPr>
        <w:t>there is no reasonable alternative to the use of</w:t>
      </w:r>
      <w:r>
        <w:rPr>
          <w:spacing w:val="-17"/>
          <w:sz w:val="20"/>
        </w:rPr>
        <w:t> </w:t>
      </w:r>
      <w:r>
        <w:rPr>
          <w:sz w:val="20"/>
        </w:rPr>
        <w:t>chrysotile.</w:t>
      </w:r>
    </w:p>
    <w:p>
      <w:pPr>
        <w:pStyle w:val="BodyText"/>
        <w:spacing w:before="2"/>
      </w:pPr>
    </w:p>
    <w:p>
      <w:pPr>
        <w:pStyle w:val="Heading1"/>
        <w:spacing w:before="0"/>
        <w:ind w:left="0" w:right="131"/>
        <w:jc w:val="right"/>
      </w:pPr>
      <w:r>
        <w:rPr/>
        <w:t>Exemption expires on 31 December 2007</w:t>
      </w:r>
    </w:p>
    <w:sectPr>
      <w:pgSz w:w="11900" w:h="16840"/>
      <w:pgMar w:top="136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60" w:hanging="361"/>
        <w:jc w:val="left"/>
      </w:pPr>
      <w:rPr>
        <w:rFonts w:hint="default" w:ascii="Arial" w:hAnsi="Arial" w:eastAsia="Arial" w:cs="Arial"/>
        <w:w w:val="100"/>
        <w:sz w:val="20"/>
        <w:szCs w:val="20"/>
      </w:rPr>
    </w:lvl>
    <w:lvl w:ilvl="1">
      <w:start w:val="0"/>
      <w:numFmt w:val="bullet"/>
      <w:lvlText w:val="•"/>
      <w:lvlJc w:val="left"/>
      <w:pPr>
        <w:ind w:left="1632" w:hanging="361"/>
      </w:pPr>
      <w:rPr>
        <w:rFonts w:hint="default"/>
      </w:rPr>
    </w:lvl>
    <w:lvl w:ilvl="2">
      <w:start w:val="0"/>
      <w:numFmt w:val="bullet"/>
      <w:lvlText w:val="•"/>
      <w:lvlJc w:val="left"/>
      <w:pPr>
        <w:ind w:left="2404" w:hanging="361"/>
      </w:pPr>
      <w:rPr>
        <w:rFonts w:hint="default"/>
      </w:rPr>
    </w:lvl>
    <w:lvl w:ilvl="3">
      <w:start w:val="0"/>
      <w:numFmt w:val="bullet"/>
      <w:lvlText w:val="•"/>
      <w:lvlJc w:val="left"/>
      <w:pPr>
        <w:ind w:left="3176" w:hanging="361"/>
      </w:pPr>
      <w:rPr>
        <w:rFonts w:hint="default"/>
      </w:rPr>
    </w:lvl>
    <w:lvl w:ilvl="4">
      <w:start w:val="0"/>
      <w:numFmt w:val="bullet"/>
      <w:lvlText w:val="•"/>
      <w:lvlJc w:val="left"/>
      <w:pPr>
        <w:ind w:left="3948" w:hanging="361"/>
      </w:pPr>
      <w:rPr>
        <w:rFonts w:hint="default"/>
      </w:rPr>
    </w:lvl>
    <w:lvl w:ilvl="5">
      <w:start w:val="0"/>
      <w:numFmt w:val="bullet"/>
      <w:lvlText w:val="•"/>
      <w:lvlJc w:val="left"/>
      <w:pPr>
        <w:ind w:left="4720" w:hanging="361"/>
      </w:pPr>
      <w:rPr>
        <w:rFonts w:hint="default"/>
      </w:rPr>
    </w:lvl>
    <w:lvl w:ilvl="6">
      <w:start w:val="0"/>
      <w:numFmt w:val="bullet"/>
      <w:lvlText w:val="•"/>
      <w:lvlJc w:val="left"/>
      <w:pPr>
        <w:ind w:left="5492" w:hanging="361"/>
      </w:pPr>
      <w:rPr>
        <w:rFonts w:hint="default"/>
      </w:rPr>
    </w:lvl>
    <w:lvl w:ilvl="7">
      <w:start w:val="0"/>
      <w:numFmt w:val="bullet"/>
      <w:lvlText w:val="•"/>
      <w:lvlJc w:val="left"/>
      <w:pPr>
        <w:ind w:left="6264" w:hanging="361"/>
      </w:pPr>
      <w:rPr>
        <w:rFonts w:hint="default"/>
      </w:rPr>
    </w:lvl>
    <w:lvl w:ilvl="8">
      <w:start w:val="0"/>
      <w:numFmt w:val="bullet"/>
      <w:lvlText w:val="•"/>
      <w:lvlJc w:val="left"/>
      <w:pPr>
        <w:ind w:left="7036" w:hanging="361"/>
      </w:pPr>
      <w:rPr>
        <w:rFonts w:hint="default"/>
      </w:rPr>
    </w:lvl>
  </w:abstractNum>
  <w:abstractNum w:abstractNumId="3">
    <w:multiLevelType w:val="hybridMultilevel"/>
    <w:lvl w:ilvl="0">
      <w:start w:val="1"/>
      <w:numFmt w:val="decimal"/>
      <w:lvlText w:val="%1."/>
      <w:lvlJc w:val="left"/>
      <w:pPr>
        <w:ind w:left="860" w:hanging="361"/>
        <w:jc w:val="left"/>
      </w:pPr>
      <w:rPr>
        <w:rFonts w:hint="default" w:ascii="Arial" w:hAnsi="Arial" w:eastAsia="Arial" w:cs="Arial"/>
        <w:w w:val="100"/>
        <w:sz w:val="20"/>
        <w:szCs w:val="20"/>
      </w:rPr>
    </w:lvl>
    <w:lvl w:ilvl="1">
      <w:start w:val="1"/>
      <w:numFmt w:val="lowerLetter"/>
      <w:lvlText w:val="(%2)"/>
      <w:lvlJc w:val="left"/>
      <w:pPr>
        <w:ind w:left="1220" w:hanging="360"/>
        <w:jc w:val="left"/>
      </w:pPr>
      <w:rPr>
        <w:rFonts w:hint="default" w:ascii="Arial" w:hAnsi="Arial" w:eastAsia="Arial" w:cs="Arial"/>
        <w:spacing w:val="-1"/>
        <w:w w:val="100"/>
        <w:sz w:val="20"/>
        <w:szCs w:val="20"/>
      </w:rPr>
    </w:lvl>
    <w:lvl w:ilvl="2">
      <w:start w:val="1"/>
      <w:numFmt w:val="lowerRoman"/>
      <w:lvlText w:val="%3."/>
      <w:lvlJc w:val="left"/>
      <w:pPr>
        <w:ind w:left="2071" w:hanging="721"/>
        <w:jc w:val="left"/>
      </w:pPr>
      <w:rPr>
        <w:rFonts w:hint="default" w:ascii="Arial" w:hAnsi="Arial" w:eastAsia="Arial" w:cs="Arial"/>
        <w:spacing w:val="-1"/>
        <w:w w:val="100"/>
        <w:sz w:val="20"/>
        <w:szCs w:val="20"/>
      </w:rPr>
    </w:lvl>
    <w:lvl w:ilvl="3">
      <w:start w:val="0"/>
      <w:numFmt w:val="bullet"/>
      <w:lvlText w:val="•"/>
      <w:lvlJc w:val="left"/>
      <w:pPr>
        <w:ind w:left="2892" w:hanging="721"/>
      </w:pPr>
      <w:rPr>
        <w:rFonts w:hint="default"/>
      </w:rPr>
    </w:lvl>
    <w:lvl w:ilvl="4">
      <w:start w:val="0"/>
      <w:numFmt w:val="bullet"/>
      <w:lvlText w:val="•"/>
      <w:lvlJc w:val="left"/>
      <w:pPr>
        <w:ind w:left="3705" w:hanging="721"/>
      </w:pPr>
      <w:rPr>
        <w:rFonts w:hint="default"/>
      </w:rPr>
    </w:lvl>
    <w:lvl w:ilvl="5">
      <w:start w:val="0"/>
      <w:numFmt w:val="bullet"/>
      <w:lvlText w:val="•"/>
      <w:lvlJc w:val="left"/>
      <w:pPr>
        <w:ind w:left="4517" w:hanging="721"/>
      </w:pPr>
      <w:rPr>
        <w:rFonts w:hint="default"/>
      </w:rPr>
    </w:lvl>
    <w:lvl w:ilvl="6">
      <w:start w:val="0"/>
      <w:numFmt w:val="bullet"/>
      <w:lvlText w:val="•"/>
      <w:lvlJc w:val="left"/>
      <w:pPr>
        <w:ind w:left="5330" w:hanging="721"/>
      </w:pPr>
      <w:rPr>
        <w:rFonts w:hint="default"/>
      </w:rPr>
    </w:lvl>
    <w:lvl w:ilvl="7">
      <w:start w:val="0"/>
      <w:numFmt w:val="bullet"/>
      <w:lvlText w:val="•"/>
      <w:lvlJc w:val="left"/>
      <w:pPr>
        <w:ind w:left="6142" w:hanging="721"/>
      </w:pPr>
      <w:rPr>
        <w:rFonts w:hint="default"/>
      </w:rPr>
    </w:lvl>
    <w:lvl w:ilvl="8">
      <w:start w:val="0"/>
      <w:numFmt w:val="bullet"/>
      <w:lvlText w:val="•"/>
      <w:lvlJc w:val="left"/>
      <w:pPr>
        <w:ind w:left="6955" w:hanging="721"/>
      </w:pPr>
      <w:rPr>
        <w:rFonts w:hint="default"/>
      </w:rPr>
    </w:lvl>
  </w:abstractNum>
  <w:abstractNum w:abstractNumId="1">
    <w:multiLevelType w:val="hybridMultilevel"/>
    <w:lvl w:ilvl="0">
      <w:start w:val="1"/>
      <w:numFmt w:val="decimal"/>
      <w:lvlText w:val="%1."/>
      <w:lvlJc w:val="left"/>
      <w:pPr>
        <w:ind w:left="860" w:hanging="361"/>
        <w:jc w:val="left"/>
      </w:pPr>
      <w:rPr>
        <w:rFonts w:hint="default" w:ascii="Arial" w:hAnsi="Arial" w:eastAsia="Arial" w:cs="Arial"/>
        <w:w w:val="100"/>
        <w:sz w:val="20"/>
        <w:szCs w:val="20"/>
      </w:rPr>
    </w:lvl>
    <w:lvl w:ilvl="1">
      <w:start w:val="0"/>
      <w:numFmt w:val="bullet"/>
      <w:lvlText w:val="•"/>
      <w:lvlJc w:val="left"/>
      <w:pPr>
        <w:ind w:left="1632" w:hanging="361"/>
      </w:pPr>
      <w:rPr>
        <w:rFonts w:hint="default"/>
      </w:rPr>
    </w:lvl>
    <w:lvl w:ilvl="2">
      <w:start w:val="0"/>
      <w:numFmt w:val="bullet"/>
      <w:lvlText w:val="•"/>
      <w:lvlJc w:val="left"/>
      <w:pPr>
        <w:ind w:left="2404" w:hanging="361"/>
      </w:pPr>
      <w:rPr>
        <w:rFonts w:hint="default"/>
      </w:rPr>
    </w:lvl>
    <w:lvl w:ilvl="3">
      <w:start w:val="0"/>
      <w:numFmt w:val="bullet"/>
      <w:lvlText w:val="•"/>
      <w:lvlJc w:val="left"/>
      <w:pPr>
        <w:ind w:left="3176" w:hanging="361"/>
      </w:pPr>
      <w:rPr>
        <w:rFonts w:hint="default"/>
      </w:rPr>
    </w:lvl>
    <w:lvl w:ilvl="4">
      <w:start w:val="0"/>
      <w:numFmt w:val="bullet"/>
      <w:lvlText w:val="•"/>
      <w:lvlJc w:val="left"/>
      <w:pPr>
        <w:ind w:left="3948" w:hanging="361"/>
      </w:pPr>
      <w:rPr>
        <w:rFonts w:hint="default"/>
      </w:rPr>
    </w:lvl>
    <w:lvl w:ilvl="5">
      <w:start w:val="0"/>
      <w:numFmt w:val="bullet"/>
      <w:lvlText w:val="•"/>
      <w:lvlJc w:val="left"/>
      <w:pPr>
        <w:ind w:left="4720" w:hanging="361"/>
      </w:pPr>
      <w:rPr>
        <w:rFonts w:hint="default"/>
      </w:rPr>
    </w:lvl>
    <w:lvl w:ilvl="6">
      <w:start w:val="0"/>
      <w:numFmt w:val="bullet"/>
      <w:lvlText w:val="•"/>
      <w:lvlJc w:val="left"/>
      <w:pPr>
        <w:ind w:left="5492" w:hanging="361"/>
      </w:pPr>
      <w:rPr>
        <w:rFonts w:hint="default"/>
      </w:rPr>
    </w:lvl>
    <w:lvl w:ilvl="7">
      <w:start w:val="0"/>
      <w:numFmt w:val="bullet"/>
      <w:lvlText w:val="•"/>
      <w:lvlJc w:val="left"/>
      <w:pPr>
        <w:ind w:left="6264" w:hanging="361"/>
      </w:pPr>
      <w:rPr>
        <w:rFonts w:hint="default"/>
      </w:rPr>
    </w:lvl>
    <w:lvl w:ilvl="8">
      <w:start w:val="0"/>
      <w:numFmt w:val="bullet"/>
      <w:lvlText w:val="•"/>
      <w:lvlJc w:val="left"/>
      <w:pPr>
        <w:ind w:left="7036" w:hanging="361"/>
      </w:pPr>
      <w:rPr>
        <w:rFonts w:hint="default"/>
      </w:rPr>
    </w:lvl>
  </w:abstractNum>
  <w:abstractNum w:abstractNumId="0">
    <w:multiLevelType w:val="hybridMultilevel"/>
    <w:lvl w:ilvl="0">
      <w:start w:val="1"/>
      <w:numFmt w:val="decimal"/>
      <w:lvlText w:val="%1."/>
      <w:lvlJc w:val="left"/>
      <w:pPr>
        <w:ind w:left="860" w:hanging="361"/>
        <w:jc w:val="left"/>
      </w:pPr>
      <w:rPr>
        <w:rFonts w:hint="default" w:ascii="Arial" w:hAnsi="Arial" w:eastAsia="Arial" w:cs="Arial"/>
        <w:w w:val="100"/>
        <w:sz w:val="20"/>
        <w:szCs w:val="20"/>
      </w:rPr>
    </w:lvl>
    <w:lvl w:ilvl="1">
      <w:start w:val="0"/>
      <w:numFmt w:val="bullet"/>
      <w:lvlText w:val="•"/>
      <w:lvlJc w:val="left"/>
      <w:pPr>
        <w:ind w:left="1632" w:hanging="361"/>
      </w:pPr>
      <w:rPr>
        <w:rFonts w:hint="default"/>
      </w:rPr>
    </w:lvl>
    <w:lvl w:ilvl="2">
      <w:start w:val="0"/>
      <w:numFmt w:val="bullet"/>
      <w:lvlText w:val="•"/>
      <w:lvlJc w:val="left"/>
      <w:pPr>
        <w:ind w:left="2404" w:hanging="361"/>
      </w:pPr>
      <w:rPr>
        <w:rFonts w:hint="default"/>
      </w:rPr>
    </w:lvl>
    <w:lvl w:ilvl="3">
      <w:start w:val="0"/>
      <w:numFmt w:val="bullet"/>
      <w:lvlText w:val="•"/>
      <w:lvlJc w:val="left"/>
      <w:pPr>
        <w:ind w:left="3176" w:hanging="361"/>
      </w:pPr>
      <w:rPr>
        <w:rFonts w:hint="default"/>
      </w:rPr>
    </w:lvl>
    <w:lvl w:ilvl="4">
      <w:start w:val="0"/>
      <w:numFmt w:val="bullet"/>
      <w:lvlText w:val="•"/>
      <w:lvlJc w:val="left"/>
      <w:pPr>
        <w:ind w:left="3948" w:hanging="361"/>
      </w:pPr>
      <w:rPr>
        <w:rFonts w:hint="default"/>
      </w:rPr>
    </w:lvl>
    <w:lvl w:ilvl="5">
      <w:start w:val="0"/>
      <w:numFmt w:val="bullet"/>
      <w:lvlText w:val="•"/>
      <w:lvlJc w:val="left"/>
      <w:pPr>
        <w:ind w:left="4720" w:hanging="361"/>
      </w:pPr>
      <w:rPr>
        <w:rFonts w:hint="default"/>
      </w:rPr>
    </w:lvl>
    <w:lvl w:ilvl="6">
      <w:start w:val="0"/>
      <w:numFmt w:val="bullet"/>
      <w:lvlText w:val="•"/>
      <w:lvlJc w:val="left"/>
      <w:pPr>
        <w:ind w:left="5492" w:hanging="361"/>
      </w:pPr>
      <w:rPr>
        <w:rFonts w:hint="default"/>
      </w:rPr>
    </w:lvl>
    <w:lvl w:ilvl="7">
      <w:start w:val="0"/>
      <w:numFmt w:val="bullet"/>
      <w:lvlText w:val="•"/>
      <w:lvlJc w:val="left"/>
      <w:pPr>
        <w:ind w:left="6264" w:hanging="361"/>
      </w:pPr>
      <w:rPr>
        <w:rFonts w:hint="default"/>
      </w:rPr>
    </w:lvl>
    <w:lvl w:ilvl="8">
      <w:start w:val="0"/>
      <w:numFmt w:val="bullet"/>
      <w:lvlText w:val="•"/>
      <w:lvlJc w:val="left"/>
      <w:pPr>
        <w:ind w:left="7036" w:hanging="361"/>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4"/>
      <w:ind w:left="140"/>
      <w:outlineLvl w:val="1"/>
    </w:pPr>
    <w:rPr>
      <w:rFonts w:ascii="Arial" w:hAnsi="Arial" w:eastAsia="Arial" w:cs="Arial"/>
      <w:b/>
      <w:bCs/>
      <w:sz w:val="20"/>
      <w:szCs w:val="20"/>
    </w:rPr>
  </w:style>
  <w:style w:styleId="Title" w:type="paragraph">
    <w:name w:val="Title"/>
    <w:basedOn w:val="Normal"/>
    <w:uiPriority w:val="1"/>
    <w:qFormat/>
    <w:pPr>
      <w:spacing w:before="91"/>
      <w:ind w:left="1223"/>
    </w:pPr>
    <w:rPr>
      <w:rFonts w:ascii="Arial" w:hAnsi="Arial" w:eastAsia="Arial" w:cs="Arial"/>
      <w:b/>
      <w:bCs/>
      <w:sz w:val="28"/>
      <w:szCs w:val="28"/>
    </w:rPr>
  </w:style>
  <w:style w:styleId="ListParagraph" w:type="paragraph">
    <w:name w:val="List Paragraph"/>
    <w:basedOn w:val="Normal"/>
    <w:uiPriority w:val="1"/>
    <w:qFormat/>
    <w:pPr>
      <w:ind w:left="860" w:hanging="360"/>
    </w:pPr>
    <w:rPr>
      <w:rFonts w:ascii="Arial" w:hAnsi="Arial" w:eastAsia="Arial" w:cs="Arial"/>
    </w:rPr>
  </w:style>
  <w:style w:styleId="TableParagraph" w:type="paragraph">
    <w:name w:val="Table Paragraph"/>
    <w:basedOn w:val="Normal"/>
    <w:uiPriority w:val="1"/>
    <w:qFormat/>
    <w:pPr>
      <w:spacing w:line="210" w:lineRule="exact"/>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nohsc.gov.au/OHSLegalObligations/HazSubstancesAndDngGoods/Chrysotile.htm" TargetMode="External"/><Relationship Id="rId7" Type="http://schemas.openxmlformats.org/officeDocument/2006/relationships/hyperlink" Target="http://www.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0403</dc:title>
  <dcterms:created xsi:type="dcterms:W3CDTF">2020-12-09T23:06:29Z</dcterms:created>
  <dcterms:modified xsi:type="dcterms:W3CDTF">2020-12-09T23:06:29Z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2004-01-19T00:00:00Z</vt:filetime>
  </property>
  <property fmtid="{D5CDD505-2E9C-101B-9397-08002B2CF9AE}" pid="3" name="Creator">
    <vt:lpwstr>PScript5.dll Version 5.2</vt:lpwstr>
  </property>
  <property fmtid="{D5CDD505-2E9C-101B-9397-08002B2CF9AE}" pid="4" name="LastSaved">
    <vt:filetime>2020-12-09T00:00:00Z</vt:filetime>
  </property>
</Properties>
</file>