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2"/>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-1188600</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 MS NOTICE NO. 2004/20 </w:t>
      </w:r>
    </w:p>
    <w:p>
      <w:pPr>
        <w:pStyle w:val="BodyText"/>
        <w:spacing w:line="20" w:lineRule="exact"/>
        <w:ind w:left="1671"/>
        <w:rPr>
          <w:rFonts w:ascii="Helvetica"/>
          <w:sz w:val="2"/>
        </w:rPr>
      </w:pPr>
      <w:r>
        <w:rPr>
          <w:rFonts w:ascii="Helvetica"/>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rFonts w:ascii="Helvetica"/>
          <w:sz w:val="2"/>
        </w:rPr>
      </w:r>
    </w:p>
    <w:p>
      <w:pPr>
        <w:pStyle w:val="BodyText"/>
        <w:rPr>
          <w:rFonts w:ascii="Helvetica"/>
          <w:b/>
          <w:sz w:val="17"/>
        </w:rPr>
      </w:pPr>
    </w:p>
    <w:p>
      <w:pPr>
        <w:spacing w:line="331" w:lineRule="auto" w:before="90"/>
        <w:ind w:left="2065" w:right="2044" w:firstLine="979"/>
        <w:jc w:val="left"/>
        <w:rPr>
          <w:b/>
          <w:sz w:val="28"/>
        </w:rPr>
      </w:pPr>
      <w:r>
        <w:rPr>
          <w:b/>
          <w:sz w:val="28"/>
        </w:rPr>
        <w:t>Application for a Customs Broker’s Licence Exemption from Requirement – Approved Course of</w:t>
      </w:r>
      <w:r>
        <w:rPr>
          <w:b/>
          <w:spacing w:val="-8"/>
          <w:sz w:val="28"/>
        </w:rPr>
        <w:t> </w:t>
      </w:r>
      <w:r>
        <w:rPr>
          <w:b/>
          <w:sz w:val="28"/>
        </w:rPr>
        <w:t>Study</w:t>
      </w:r>
    </w:p>
    <w:p>
      <w:pPr>
        <w:pStyle w:val="BodyText"/>
        <w:spacing w:before="165"/>
        <w:ind w:left="1701" w:right="1931"/>
      </w:pPr>
      <w:r>
        <w:rPr/>
        <w:t>This Australian Customs Notice (ACN) is to provide prospective Customs Brokers with advice on requesting an exemption from the requirement to complete the approved course of</w:t>
      </w:r>
      <w:r>
        <w:rPr>
          <w:spacing w:val="-37"/>
        </w:rPr>
        <w:t> </w:t>
      </w:r>
      <w:r>
        <w:rPr/>
        <w:t>study.</w:t>
      </w:r>
    </w:p>
    <w:p>
      <w:pPr>
        <w:pStyle w:val="BodyText"/>
      </w:pPr>
    </w:p>
    <w:p>
      <w:pPr>
        <w:pStyle w:val="BodyText"/>
        <w:ind w:left="1701" w:right="1707"/>
      </w:pPr>
      <w:r>
        <w:rPr/>
        <w:t>Section 183CC of the </w:t>
      </w:r>
      <w:r>
        <w:rPr>
          <w:i/>
        </w:rPr>
        <w:t>Customs Act 1901 </w:t>
      </w:r>
      <w:r>
        <w:rPr/>
        <w:t>sets out the requirements that must be satisfied before the Chief Executive Officer of Customs (the CEO) may grant a Customs Broker’s Licence, including a requirement that the applicant must be qualified to be a Customs Broker. An applicant is taken to be qualified if he or she has:</w:t>
      </w:r>
    </w:p>
    <w:p>
      <w:pPr>
        <w:pStyle w:val="ListParagraph"/>
        <w:numPr>
          <w:ilvl w:val="0"/>
          <w:numId w:val="1"/>
        </w:numPr>
        <w:tabs>
          <w:tab w:pos="2420" w:val="left" w:leader="none"/>
          <w:tab w:pos="2421" w:val="left" w:leader="none"/>
        </w:tabs>
        <w:spacing w:line="240" w:lineRule="auto" w:before="119" w:after="0"/>
        <w:ind w:left="2421" w:right="1928" w:hanging="720"/>
        <w:jc w:val="left"/>
        <w:rPr>
          <w:sz w:val="20"/>
        </w:rPr>
      </w:pPr>
      <w:r>
        <w:rPr>
          <w:sz w:val="20"/>
        </w:rPr>
        <w:t>acquired experience that in the opinion of the CEO, fits the applicant to be a Customs Broker;</w:t>
      </w:r>
      <w:r>
        <w:rPr>
          <w:spacing w:val="-2"/>
          <w:sz w:val="20"/>
        </w:rPr>
        <w:t> </w:t>
      </w:r>
      <w:r>
        <w:rPr>
          <w:sz w:val="20"/>
        </w:rPr>
        <w:t>and</w:t>
      </w:r>
    </w:p>
    <w:p>
      <w:pPr>
        <w:pStyle w:val="ListParagraph"/>
        <w:numPr>
          <w:ilvl w:val="0"/>
          <w:numId w:val="1"/>
        </w:numPr>
        <w:tabs>
          <w:tab w:pos="2420" w:val="left" w:leader="none"/>
          <w:tab w:pos="2421" w:val="left" w:leader="none"/>
        </w:tabs>
        <w:spacing w:line="240" w:lineRule="auto" w:before="121" w:after="0"/>
        <w:ind w:left="2420" w:right="0" w:hanging="720"/>
        <w:jc w:val="left"/>
        <w:rPr>
          <w:sz w:val="20"/>
        </w:rPr>
      </w:pPr>
      <w:r>
        <w:rPr>
          <w:sz w:val="20"/>
        </w:rPr>
        <w:t>completed the course of study or instruction approved by the</w:t>
      </w:r>
      <w:r>
        <w:rPr>
          <w:spacing w:val="-14"/>
          <w:sz w:val="20"/>
        </w:rPr>
        <w:t> </w:t>
      </w:r>
      <w:r>
        <w:rPr>
          <w:sz w:val="20"/>
        </w:rPr>
        <w:t>CEO.</w:t>
      </w:r>
    </w:p>
    <w:p>
      <w:pPr>
        <w:pStyle w:val="BodyText"/>
        <w:spacing w:before="119"/>
        <w:ind w:left="1701" w:right="1830"/>
      </w:pPr>
      <w:r>
        <w:rPr/>
        <w:t>Currently, the approved course of study is a Certificate IV in Australian and International Trade Facilitation conducted by certain Technical and Further Education (TAFE) institutions in Australia. Section 183CC allows the CEO to exempt an applicant from the requirement to complete the approved course of study if, having regard to the experience or training of the applicant, he considers it appropriate to do so.</w:t>
      </w:r>
    </w:p>
    <w:p>
      <w:pPr>
        <w:pStyle w:val="BodyText"/>
      </w:pPr>
    </w:p>
    <w:p>
      <w:pPr>
        <w:pStyle w:val="BodyText"/>
        <w:ind w:left="1701" w:right="1691"/>
        <w:jc w:val="both"/>
      </w:pPr>
      <w:r>
        <w:rPr/>
        <w:t>Applicants who wish to be considered for such an exemption should obtain written recognition  of prior learning (RPL) for the subjects covered by the approved course of study from a TAFE institution that conducts the approved course of study, and provide the relevant documents together with their application. Information on RPL can be found on the Australian National Training Authority Internet site at</w:t>
      </w:r>
      <w:r>
        <w:rPr>
          <w:spacing w:val="-8"/>
        </w:rPr>
        <w:t> </w:t>
      </w:r>
      <w:hyperlink r:id="rId6">
        <w:r>
          <w:rPr/>
          <w:t>www.anta.gov.au.</w:t>
        </w:r>
      </w:hyperlink>
    </w:p>
    <w:p>
      <w:pPr>
        <w:pStyle w:val="BodyText"/>
      </w:pPr>
    </w:p>
    <w:p>
      <w:pPr>
        <w:pStyle w:val="BodyText"/>
        <w:ind w:left="1701"/>
        <w:jc w:val="both"/>
      </w:pPr>
      <w:r>
        <w:rPr/>
        <w:t>The TAFE institutions that conduct the approved course of study are:</w:t>
      </w:r>
    </w:p>
    <w:p>
      <w:pPr>
        <w:pStyle w:val="BodyText"/>
      </w:pPr>
    </w:p>
    <w:p>
      <w:pPr>
        <w:pStyle w:val="BodyText"/>
        <w:tabs>
          <w:tab w:pos="4041" w:val="left" w:leader="none"/>
          <w:tab w:pos="4400" w:val="left" w:leader="none"/>
        </w:tabs>
        <w:ind w:left="1701" w:right="2525"/>
      </w:pPr>
      <w:r>
        <w:rPr/>
        <w:t>QUEENSLAND</w:t>
        <w:tab/>
        <w:t>-</w:t>
        <w:tab/>
        <w:t>Southbank Institute of TAFE – Kangaroo Point Campus NEW</w:t>
      </w:r>
      <w:r>
        <w:rPr>
          <w:spacing w:val="-4"/>
        </w:rPr>
        <w:t> </w:t>
      </w:r>
      <w:r>
        <w:rPr/>
        <w:t>SOUTH</w:t>
      </w:r>
      <w:r>
        <w:rPr>
          <w:spacing w:val="-3"/>
        </w:rPr>
        <w:t> </w:t>
      </w:r>
      <w:r>
        <w:rPr/>
        <w:t>WALES</w:t>
        <w:tab/>
        <w:t>-</w:t>
        <w:tab/>
        <w:t>Southern Sydney Institute of TAFE - St George Campus VICTORIA</w:t>
        <w:tab/>
        <w:t>-</w:t>
        <w:tab/>
        <w:t>Holmesglen Institute of</w:t>
      </w:r>
      <w:r>
        <w:rPr>
          <w:spacing w:val="-5"/>
        </w:rPr>
        <w:t> </w:t>
      </w:r>
      <w:r>
        <w:rPr/>
        <w:t>TAFE</w:t>
      </w:r>
    </w:p>
    <w:p>
      <w:pPr>
        <w:pStyle w:val="BodyText"/>
        <w:tabs>
          <w:tab w:pos="4401" w:val="left" w:leader="none"/>
        </w:tabs>
        <w:ind w:left="1701" w:right="2604" w:firstLine="2340"/>
      </w:pPr>
      <w:r>
        <w:rPr>
          <w:rFonts w:ascii="Times New Roman" w:hAnsi="Times New Roman"/>
        </w:rPr>
        <w:t>-</w:t>
        <w:tab/>
      </w:r>
      <w:r>
        <w:rPr/>
        <w:t>Kangan Batman Institute of TAFE – Essendon Campus WESTERN</w:t>
      </w:r>
      <w:r>
        <w:rPr>
          <w:spacing w:val="-3"/>
        </w:rPr>
        <w:t> </w:t>
      </w:r>
      <w:r>
        <w:rPr/>
        <w:t>AUSTRALIA </w:t>
      </w:r>
      <w:r>
        <w:rPr>
          <w:spacing w:val="55"/>
        </w:rPr>
        <w:t> </w:t>
      </w:r>
      <w:r>
        <w:rPr/>
        <w:t>-</w:t>
        <w:tab/>
        <w:t>Challenger</w:t>
      </w:r>
      <w:r>
        <w:rPr>
          <w:spacing w:val="-2"/>
        </w:rPr>
        <w:t> </w:t>
      </w:r>
      <w:r>
        <w:rPr/>
        <w:t>TAFE</w:t>
      </w:r>
    </w:p>
    <w:p>
      <w:pPr>
        <w:pStyle w:val="BodyText"/>
        <w:spacing w:before="11"/>
        <w:rPr>
          <w:sz w:val="19"/>
        </w:rPr>
      </w:pPr>
    </w:p>
    <w:p>
      <w:pPr>
        <w:pStyle w:val="BodyText"/>
        <w:ind w:left="1701" w:right="1693"/>
        <w:jc w:val="both"/>
      </w:pPr>
      <w:r>
        <w:rPr/>
        <w:t>Information on the approved course of study can be found in ACN 98/44 on the Customs Internet site at</w:t>
      </w:r>
      <w:r>
        <w:rPr>
          <w:spacing w:val="-4"/>
        </w:rPr>
        <w:t> </w:t>
      </w:r>
      <w:hyperlink r:id="rId7">
        <w:r>
          <w:rPr/>
          <w:t>www.customs.gov.au.</w:t>
        </w:r>
      </w:hyperlink>
    </w:p>
    <w:p>
      <w:pPr>
        <w:pStyle w:val="BodyText"/>
      </w:pPr>
    </w:p>
    <w:p>
      <w:pPr>
        <w:pStyle w:val="BodyText"/>
        <w:ind w:left="1701" w:right="1691"/>
        <w:jc w:val="both"/>
      </w:pPr>
      <w:r>
        <w:rPr/>
        <w:t>Inquiries concerning this notice may be directed to the Supervisor, Brokers Licensing on telephone number (02) 6275 5805 or fax number (02) 6275 6601.</w:t>
      </w:r>
    </w:p>
    <w:p>
      <w:pPr>
        <w:pStyle w:val="BodyText"/>
        <w:rPr>
          <w:sz w:val="22"/>
        </w:rPr>
      </w:pPr>
    </w:p>
    <w:p>
      <w:pPr>
        <w:pStyle w:val="BodyText"/>
        <w:rPr>
          <w:sz w:val="22"/>
        </w:rPr>
      </w:pPr>
    </w:p>
    <w:p>
      <w:pPr>
        <w:pStyle w:val="BodyText"/>
        <w:rPr>
          <w:sz w:val="22"/>
        </w:rPr>
      </w:pPr>
    </w:p>
    <w:p>
      <w:pPr>
        <w:pStyle w:val="BodyText"/>
        <w:spacing w:before="161"/>
        <w:ind w:left="1701" w:right="8544"/>
      </w:pPr>
      <w:r>
        <w:rPr/>
        <w:t>Philomena Carnell National Manager Cargo Branch CANBERRA ACT</w:t>
      </w:r>
    </w:p>
    <w:p>
      <w:pPr>
        <w:pStyle w:val="BodyText"/>
        <w:spacing w:before="120"/>
        <w:ind w:left="1701"/>
      </w:pPr>
      <w:r>
        <w:rPr/>
        <w:t>For</w:t>
      </w:r>
    </w:p>
    <w:p>
      <w:pPr>
        <w:pStyle w:val="BodyText"/>
        <w:spacing w:line="364" w:lineRule="auto" w:before="120"/>
        <w:ind w:left="1701" w:right="8144"/>
      </w:pPr>
      <w:r>
        <w:rPr/>
        <w:t>Chief Executive Officer 4 June 2004</w:t>
      </w:r>
    </w:p>
    <w:p>
      <w:pPr>
        <w:pStyle w:val="BodyText"/>
      </w:pPr>
    </w:p>
    <w:p>
      <w:pPr>
        <w:pStyle w:val="BodyText"/>
        <w:spacing w:before="5"/>
        <w:rPr>
          <w:sz w:val="28"/>
        </w:rPr>
      </w:pPr>
      <w:r>
        <w:rPr/>
        <w:drawing>
          <wp:anchor distT="0" distB="0" distL="0" distR="0" allowOverlap="1" layoutInCell="1" locked="0" behindDoc="0" simplePos="0" relativeHeight="1">
            <wp:simplePos x="0" y="0"/>
            <wp:positionH relativeFrom="page">
              <wp:posOffset>5557265</wp:posOffset>
            </wp:positionH>
            <wp:positionV relativeFrom="paragraph">
              <wp:posOffset>232455</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5" cy="123825"/>
                    </a:xfrm>
                    <a:prstGeom prst="rect">
                      <a:avLst/>
                    </a:prstGeom>
                  </pic:spPr>
                </pic:pic>
              </a:graphicData>
            </a:graphic>
          </wp:anchor>
        </w:drawing>
      </w:r>
    </w:p>
    <w:sectPr>
      <w:type w:val="continuous"/>
      <w:pgSz w:w="11900" w:h="16840"/>
      <w:pgMar w:top="4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21" w:hanging="720"/>
        <w:jc w:val="left"/>
      </w:pPr>
      <w:rPr>
        <w:rFonts w:hint="default" w:ascii="Arial" w:hAnsi="Arial" w:eastAsia="Arial" w:cs="Arial"/>
        <w:w w:val="100"/>
        <w:sz w:val="20"/>
        <w:szCs w:val="20"/>
      </w:rPr>
    </w:lvl>
    <w:lvl w:ilvl="1">
      <w:start w:val="0"/>
      <w:numFmt w:val="bullet"/>
      <w:lvlText w:val="•"/>
      <w:lvlJc w:val="left"/>
      <w:pPr>
        <w:ind w:left="3368" w:hanging="720"/>
      </w:pPr>
      <w:rPr>
        <w:rFonts w:hint="default"/>
      </w:rPr>
    </w:lvl>
    <w:lvl w:ilvl="2">
      <w:start w:val="0"/>
      <w:numFmt w:val="bullet"/>
      <w:lvlText w:val="•"/>
      <w:lvlJc w:val="left"/>
      <w:pPr>
        <w:ind w:left="4316" w:hanging="720"/>
      </w:pPr>
      <w:rPr>
        <w:rFonts w:hint="default"/>
      </w:rPr>
    </w:lvl>
    <w:lvl w:ilvl="3">
      <w:start w:val="0"/>
      <w:numFmt w:val="bullet"/>
      <w:lvlText w:val="•"/>
      <w:lvlJc w:val="left"/>
      <w:pPr>
        <w:ind w:left="5264" w:hanging="720"/>
      </w:pPr>
      <w:rPr>
        <w:rFonts w:hint="default"/>
      </w:rPr>
    </w:lvl>
    <w:lvl w:ilvl="4">
      <w:start w:val="0"/>
      <w:numFmt w:val="bullet"/>
      <w:lvlText w:val="•"/>
      <w:lvlJc w:val="left"/>
      <w:pPr>
        <w:ind w:left="6212" w:hanging="720"/>
      </w:pPr>
      <w:rPr>
        <w:rFonts w:hint="default"/>
      </w:rPr>
    </w:lvl>
    <w:lvl w:ilvl="5">
      <w:start w:val="0"/>
      <w:numFmt w:val="bullet"/>
      <w:lvlText w:val="•"/>
      <w:lvlJc w:val="left"/>
      <w:pPr>
        <w:ind w:left="7160" w:hanging="720"/>
      </w:pPr>
      <w:rPr>
        <w:rFonts w:hint="default"/>
      </w:rPr>
    </w:lvl>
    <w:lvl w:ilvl="6">
      <w:start w:val="0"/>
      <w:numFmt w:val="bullet"/>
      <w:lvlText w:val="•"/>
      <w:lvlJc w:val="left"/>
      <w:pPr>
        <w:ind w:left="8108" w:hanging="720"/>
      </w:pPr>
      <w:rPr>
        <w:rFonts w:hint="default"/>
      </w:rPr>
    </w:lvl>
    <w:lvl w:ilvl="7">
      <w:start w:val="0"/>
      <w:numFmt w:val="bullet"/>
      <w:lvlText w:val="•"/>
      <w:lvlJc w:val="left"/>
      <w:pPr>
        <w:ind w:left="9056" w:hanging="720"/>
      </w:pPr>
      <w:rPr>
        <w:rFonts w:hint="default"/>
      </w:rPr>
    </w:lvl>
    <w:lvl w:ilvl="8">
      <w:start w:val="0"/>
      <w:numFmt w:val="bullet"/>
      <w:lvlText w:val="•"/>
      <w:lvlJc w:val="left"/>
      <w:pPr>
        <w:ind w:left="10004"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344" w:right="2457"/>
      <w:jc w:val="center"/>
    </w:pPr>
    <w:rPr>
      <w:rFonts w:ascii="Helvetica" w:hAnsi="Helvetica" w:eastAsia="Helvetica" w:cs="Helvetica"/>
      <w:b/>
      <w:bCs/>
      <w:sz w:val="32"/>
      <w:szCs w:val="32"/>
    </w:rPr>
  </w:style>
  <w:style w:styleId="ListParagraph" w:type="paragraph">
    <w:name w:val="List Paragraph"/>
    <w:basedOn w:val="Normal"/>
    <w:uiPriority w:val="1"/>
    <w:qFormat/>
    <w:pPr>
      <w:spacing w:before="119"/>
      <w:ind w:left="2420"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nta.gov.au/" TargetMode="External"/><Relationship Id="rId7" Type="http://schemas.openxmlformats.org/officeDocument/2006/relationships/hyperlink" Target="http://www.customs.gov.au/"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04/20</dc:title>
  <dcterms:created xsi:type="dcterms:W3CDTF">2020-12-09T22:19:35Z</dcterms:created>
  <dcterms:modified xsi:type="dcterms:W3CDTF">2020-12-09T22:19:35Z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2004-06-20T00:00:00Z</vt:filetime>
  </property>
  <property fmtid="{D5CDD505-2E9C-101B-9397-08002B2CF9AE}" pid="3" name="Creator">
    <vt:lpwstr>PScript5.dll Version 5.2</vt:lpwstr>
  </property>
  <property fmtid="{D5CDD505-2E9C-101B-9397-08002B2CF9AE}" pid="4" name="LastSaved">
    <vt:filetime>2020-12-09T00:00:00Z</vt:filetime>
  </property>
</Properties>
</file>