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  <w:spacing w:before="232" w:after="19"/>
        <w:ind w:right="2811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-1161903</wp:posOffset>
            </wp:positionV>
            <wp:extent cx="7556500" cy="93345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AUSTRALIAN CUSTOMS NOTICE NO. 2004/27</w:t>
      </w:r>
    </w:p>
    <w:p>
      <w:pPr>
        <w:pStyle w:val="BodyText"/>
        <w:spacing w:line="20" w:lineRule="exact"/>
        <w:ind w:left="1671"/>
        <w:rPr>
          <w:sz w:val="2"/>
        </w:rPr>
      </w:pPr>
      <w:r>
        <w:rPr>
          <w:sz w:val="2"/>
        </w:rPr>
        <w:pict>
          <v:group style="width:428.25pt;height:.75pt;mso-position-horizontal-relative:char;mso-position-vertical-relative:line" coordorigin="0,0" coordsize="8565,15">
            <v:rect style="position:absolute;left:0;top:0;width:8565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Title"/>
        <w:ind w:left="2884"/>
      </w:pPr>
      <w:r>
        <w:rPr/>
        <w:t>Customs Tariff Amendment (Fuels) Act 2004</w:t>
      </w:r>
    </w:p>
    <w:p>
      <w:pPr>
        <w:pStyle w:val="BodyText"/>
        <w:spacing w:before="9"/>
        <w:rPr>
          <w:b/>
          <w:sz w:val="39"/>
        </w:rPr>
      </w:pPr>
    </w:p>
    <w:p>
      <w:pPr>
        <w:spacing w:before="0"/>
        <w:ind w:left="1701" w:right="1736" w:firstLine="0"/>
        <w:jc w:val="both"/>
        <w:rPr>
          <w:sz w:val="20"/>
        </w:rPr>
      </w:pPr>
      <w:r>
        <w:rPr>
          <w:sz w:val="20"/>
        </w:rPr>
        <w:t>The </w:t>
      </w:r>
      <w:r>
        <w:rPr>
          <w:i/>
          <w:sz w:val="20"/>
        </w:rPr>
        <w:t>Customs Tariff Amendment (Fuels) Act 2004 </w:t>
      </w:r>
      <w:r>
        <w:rPr>
          <w:sz w:val="20"/>
        </w:rPr>
        <w:t>– Act No. 65 of 2004 – received Royal Assent on 22 June 2004. The Act amends the </w:t>
      </w:r>
      <w:r>
        <w:rPr>
          <w:i/>
          <w:sz w:val="20"/>
        </w:rPr>
        <w:t>Customs Tariff Act 1995 </w:t>
      </w:r>
      <w:r>
        <w:rPr>
          <w:sz w:val="20"/>
        </w:rPr>
        <w:t>(the Tariff) by enacting changes previously included in the following Customs Tariff Proposals: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2061" w:right="1908"/>
        <w:jc w:val="both"/>
      </w:pPr>
      <w:r>
        <w:rPr/>
        <w:t>No. 3 (2003) – Imposed a customs duty of 1 cent per litre for high sulphur diesel on top of the normal diesel rate of 38.143 cents per litre from 1 July 2003, and 2 cents per litre from 1 January 2004 (Australian Customs Notice (ACN) No. 2003/51 refers);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2061" w:right="1825"/>
      </w:pPr>
      <w:r>
        <w:rPr/>
        <w:t>No. 4 (2003) – Increased the rate of customs duty for aviation fuels by 0.306 cents per litre to $0.03151 per litre for aviation kerosene and to $0.03114 per litre for aviation gasoline (ACN No. 2003/51 refers); and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2061" w:right="1825"/>
      </w:pPr>
      <w:r>
        <w:rPr/>
        <w:t>No. 5 (2003) – Imposed customs duty on biodiesel for use as a fuel in an internal combustion engine at the rate of 38.143 cents per litre, the same rate that applies to ultra low sulphur diesel (ACN No. 2003/63 refers).</w:t>
      </w:r>
    </w:p>
    <w:p>
      <w:pPr>
        <w:pStyle w:val="BodyText"/>
      </w:pPr>
    </w:p>
    <w:p>
      <w:pPr>
        <w:spacing w:before="0"/>
        <w:ind w:left="1701" w:right="1852" w:firstLine="0"/>
        <w:jc w:val="left"/>
        <w:rPr>
          <w:sz w:val="20"/>
        </w:rPr>
      </w:pPr>
      <w:r>
        <w:rPr>
          <w:sz w:val="20"/>
        </w:rPr>
        <w:t>The </w:t>
      </w:r>
      <w:r>
        <w:rPr>
          <w:i/>
          <w:sz w:val="20"/>
        </w:rPr>
        <w:t>Excise Tariff Amendment (Fuels) Act 2004 </w:t>
      </w:r>
      <w:r>
        <w:rPr>
          <w:sz w:val="20"/>
        </w:rPr>
        <w:t>implemented equivalent changes in the </w:t>
      </w:r>
      <w:r>
        <w:rPr>
          <w:i/>
          <w:sz w:val="20"/>
        </w:rPr>
        <w:t>Excise Tariff Act 1921</w:t>
      </w:r>
      <w:r>
        <w:rPr>
          <w:sz w:val="20"/>
        </w:rPr>
        <w:t>.</w:t>
      </w:r>
    </w:p>
    <w:p>
      <w:pPr>
        <w:pStyle w:val="BodyText"/>
      </w:pPr>
    </w:p>
    <w:p>
      <w:pPr>
        <w:spacing w:before="1"/>
        <w:ind w:left="1701" w:right="1708" w:firstLine="0"/>
        <w:jc w:val="left"/>
        <w:rPr>
          <w:sz w:val="20"/>
        </w:rPr>
      </w:pPr>
      <w:r>
        <w:rPr>
          <w:sz w:val="20"/>
        </w:rPr>
        <w:t>The </w:t>
      </w:r>
      <w:r>
        <w:rPr>
          <w:i/>
          <w:sz w:val="20"/>
        </w:rPr>
        <w:t>Customs Tariff Amendment (Fuels) Act 2004 </w:t>
      </w:r>
      <w:r>
        <w:rPr>
          <w:sz w:val="20"/>
        </w:rPr>
        <w:t>also implemented minor consequential amendments to the Tariff and to the </w:t>
      </w:r>
      <w:r>
        <w:rPr>
          <w:i/>
          <w:sz w:val="20"/>
        </w:rPr>
        <w:t>Customs Tariff Amendment Act (No. 1) 2003</w:t>
      </w:r>
      <w:r>
        <w:rPr>
          <w:sz w:val="20"/>
        </w:rPr>
        <w:t>. The latter Act provided duty-free access to goods originating in Least Developed Countries and Singapore.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701"/>
      </w:pPr>
      <w:r>
        <w:rPr/>
        <w:t>Tariff reprint pages relevant to the above amendments were issued during 2003.</w:t>
      </w:r>
    </w:p>
    <w:p>
      <w:pPr>
        <w:pStyle w:val="BodyText"/>
        <w:spacing w:before="1"/>
      </w:pPr>
    </w:p>
    <w:p>
      <w:pPr>
        <w:pStyle w:val="BodyText"/>
        <w:ind w:left="1701" w:right="1996"/>
      </w:pPr>
      <w:r>
        <w:rPr/>
        <w:t>Any enquiries concerning these matters should be directed to the Manager, Tariff Legislation and External Review, on (02) 6275 6486.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30" w:lineRule="exact" w:before="161"/>
        <w:ind w:left="1701"/>
      </w:pPr>
      <w:r>
        <w:rPr/>
        <w:t>John Arndell</w:t>
      </w:r>
    </w:p>
    <w:p>
      <w:pPr>
        <w:pStyle w:val="BodyText"/>
        <w:ind w:left="1701" w:right="8244"/>
      </w:pPr>
      <w:r>
        <w:rPr/>
        <w:t>A/g National Manager Trade</w:t>
      </w:r>
    </w:p>
    <w:p>
      <w:pPr>
        <w:pStyle w:val="BodyText"/>
        <w:spacing w:line="230" w:lineRule="exact"/>
        <w:ind w:left="1701"/>
      </w:pPr>
      <w:r>
        <w:rPr/>
        <w:t>for</w:t>
      </w:r>
    </w:p>
    <w:p>
      <w:pPr>
        <w:pStyle w:val="BodyText"/>
        <w:spacing w:line="288" w:lineRule="auto"/>
        <w:ind w:left="1922" w:right="8144" w:hanging="221"/>
      </w:pPr>
      <w:r>
        <w:rPr/>
        <w:t>Chief Executive Officer June 2004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5557265</wp:posOffset>
            </wp:positionH>
            <wp:positionV relativeFrom="paragraph">
              <wp:posOffset>240339</wp:posOffset>
            </wp:positionV>
            <wp:extent cx="1623015" cy="1238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01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8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53"/>
      <w:ind w:left="2819" w:right="2544"/>
      <w:jc w:val="center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Customs Notice 2004/17</dc:title>
  <dcterms:created xsi:type="dcterms:W3CDTF">2020-12-09T22:33:41Z</dcterms:created>
  <dcterms:modified xsi:type="dcterms:W3CDTF">2020-12-09T22:33:41Z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2004-07-05T00:00:00Z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