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2004/38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Cutover to Integrated Cargo System</w:t>
      </w:r>
    </w:p>
    <w:p>
      <w:pPr>
        <w:pStyle w:val="BodyText"/>
        <w:spacing w:before="1"/>
        <w:rPr>
          <w:b/>
          <w:sz w:val="25"/>
        </w:rPr>
      </w:pPr>
    </w:p>
    <w:p>
      <w:pPr>
        <w:pStyle w:val="BodyText"/>
        <w:ind w:left="1701" w:right="1864"/>
      </w:pPr>
      <w:r>
        <w:rPr/>
        <w:t>The Integrated Cargo System (ICS) will go live on 22 September 2004 with cutover from the EXIT system to occur at 2am AEST on 6 October. EXIT will not be available for reporting from 6 October.</w:t>
      </w:r>
    </w:p>
    <w:p>
      <w:pPr>
        <w:pStyle w:val="BodyText"/>
        <w:spacing w:before="10"/>
        <w:rPr>
          <w:sz w:val="19"/>
        </w:rPr>
      </w:pPr>
    </w:p>
    <w:p>
      <w:pPr>
        <w:pStyle w:val="BodyText"/>
        <w:spacing w:line="480" w:lineRule="auto" w:before="1"/>
        <w:ind w:left="1701" w:right="2297"/>
      </w:pPr>
      <w:r>
        <w:rPr/>
        <w:t>It is critical that you obtain your digital certificate(s) now so that you can report to the ICS. If you do not have a digital certificate you will not be able to communicate with the ICS.</w:t>
      </w:r>
    </w:p>
    <w:p>
      <w:pPr>
        <w:pStyle w:val="BodyText"/>
        <w:ind w:left="1701" w:right="1864"/>
      </w:pPr>
      <w:r>
        <w:rPr/>
        <w:t>The Australian Customs Service (Customs) can not, for legislative reasons, grant concessions for individuals and businesses that are not prepared.</w:t>
      </w:r>
    </w:p>
    <w:p>
      <w:pPr>
        <w:pStyle w:val="BodyText"/>
      </w:pPr>
    </w:p>
    <w:p>
      <w:pPr>
        <w:pStyle w:val="BodyText"/>
        <w:ind w:left="1701" w:right="1774"/>
      </w:pPr>
      <w:r>
        <w:rPr/>
        <w:t>If you have not obtained your digital certificate(s) by 15 September you will not be able to complete the ICS registration process by 22 September. It can take up to three weeks to obtain a digital certificate.</w:t>
      </w:r>
    </w:p>
    <w:p>
      <w:pPr>
        <w:pStyle w:val="BodyText"/>
        <w:spacing w:before="11"/>
        <w:rPr>
          <w:sz w:val="19"/>
        </w:rPr>
      </w:pPr>
    </w:p>
    <w:p>
      <w:pPr>
        <w:pStyle w:val="BodyText"/>
        <w:ind w:left="1701" w:right="2218"/>
      </w:pPr>
      <w:r>
        <w:rPr/>
        <w:t>If you have not purchased the obligatory digital certificates you must identify an alternative reporting arrangement. There are three possible alternative reporting options:</w:t>
      </w:r>
    </w:p>
    <w:p>
      <w:pPr>
        <w:pStyle w:val="BodyText"/>
        <w:spacing w:before="3"/>
        <w:rPr>
          <w:sz w:val="21"/>
        </w:rPr>
      </w:pPr>
    </w:p>
    <w:p>
      <w:pPr>
        <w:pStyle w:val="BodyText"/>
        <w:ind w:left="2421" w:right="1866"/>
      </w:pPr>
      <w:r>
        <w:rPr/>
        <w:t>manual lodgement of export declarations at a Customs counter or at an Australia Post Keypost outlet</w:t>
      </w:r>
    </w:p>
    <w:p>
      <w:pPr>
        <w:pStyle w:val="BodyText"/>
        <w:spacing w:line="254" w:lineRule="auto" w:before="15"/>
        <w:ind w:left="2421" w:right="2011"/>
      </w:pPr>
      <w:r>
        <w:rPr/>
        <w:t>utilising the services of a freight forwarder, Customs Broker or other service provider communication to Customs through a bureau service.</w:t>
      </w:r>
    </w:p>
    <w:p>
      <w:pPr>
        <w:pStyle w:val="BodyText"/>
        <w:spacing w:before="10"/>
        <w:rPr>
          <w:sz w:val="18"/>
        </w:rPr>
      </w:pPr>
    </w:p>
    <w:p>
      <w:pPr>
        <w:pStyle w:val="BodyText"/>
        <w:ind w:left="1701" w:right="1763"/>
      </w:pPr>
      <w:r>
        <w:rPr/>
        <w:t>From October 6, manual (documentary) outward manifests and sub manifests can no longer be lodged with Customs. Only manual (documentary) declarations will be accepted.</w:t>
      </w:r>
    </w:p>
    <w:p>
      <w:pPr>
        <w:pStyle w:val="BodyText"/>
      </w:pPr>
    </w:p>
    <w:p>
      <w:pPr>
        <w:pStyle w:val="BodyText"/>
        <w:ind w:left="1701" w:right="1908"/>
      </w:pPr>
      <w:r>
        <w:rPr/>
        <w:t>For more information on any aspect of Customs Cargo Management Re-engineering (CMR) project go to </w:t>
      </w:r>
      <w:hyperlink r:id="rId6">
        <w:r>
          <w:rPr/>
          <w:t>www.customs.gov.au </w:t>
        </w:r>
      </w:hyperlink>
      <w:r>
        <w:rPr/>
        <w:t>(follow the links to the Cargo Management Re-engineering site)</w:t>
      </w:r>
    </w:p>
    <w:p>
      <w:pPr>
        <w:pStyle w:val="BodyText"/>
        <w:spacing w:before="11"/>
        <w:rPr>
          <w:sz w:val="19"/>
        </w:rPr>
      </w:pPr>
    </w:p>
    <w:p>
      <w:pPr>
        <w:pStyle w:val="BodyText"/>
        <w:ind w:left="1701" w:right="1808"/>
      </w:pPr>
      <w:r>
        <w:rPr/>
        <w:t>To receive regular updates from Customs regarding changes under the CMR project subscribe to the CMR mailing list at:</w:t>
      </w:r>
    </w:p>
    <w:p>
      <w:pPr>
        <w:pStyle w:val="BodyText"/>
      </w:pPr>
    </w:p>
    <w:p>
      <w:pPr>
        <w:pStyle w:val="BodyText"/>
        <w:ind w:left="2061"/>
      </w:pPr>
      <w:hyperlink r:id="rId7">
        <w:r>
          <w:rPr>
            <w:u w:val="single"/>
          </w:rPr>
          <w:t>http://www.customs.gov.au/site/page.cfm?u=4928</w:t>
        </w:r>
      </w:hyperlink>
    </w:p>
    <w:p>
      <w:pPr>
        <w:pStyle w:val="BodyText"/>
        <w:spacing w:before="9"/>
        <w:rPr>
          <w:sz w:val="11"/>
        </w:rPr>
      </w:pPr>
    </w:p>
    <w:p>
      <w:pPr>
        <w:pStyle w:val="BodyText"/>
        <w:spacing w:before="94"/>
        <w:ind w:left="1701" w:right="1864"/>
      </w:pPr>
      <w:r>
        <w:rPr/>
        <w:t>Inquiries concerning this notice may be directed to Director Communication and Training on telephone number (07) 3835 3113 or fax number (07) 3835 3495.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573"/>
      </w:pPr>
      <w:r>
        <w:rPr/>
        <w:t>Phil Burns National Director Cargo and Trade CANBERRA ACT</w:t>
      </w:r>
    </w:p>
    <w:p>
      <w:pPr>
        <w:pStyle w:val="BodyText"/>
        <w:spacing w:before="120"/>
        <w:ind w:left="1701"/>
      </w:pPr>
      <w:r>
        <w:rPr/>
        <w:t>10 September 2004</w:t>
      </w:r>
    </w:p>
    <w:p>
      <w:pPr>
        <w:pStyle w:val="BodyText"/>
      </w:pPr>
    </w:p>
    <w:p>
      <w:pPr>
        <w:pStyle w:val="BodyText"/>
      </w:pPr>
    </w:p>
    <w:p>
      <w:pPr>
        <w:pStyle w:val="BodyText"/>
      </w:pPr>
    </w:p>
    <w:p>
      <w:pPr>
        <w:pStyle w:val="BodyText"/>
        <w:spacing w:before="1"/>
        <w:rPr>
          <w:sz w:val="26"/>
        </w:rPr>
      </w:pPr>
      <w:r>
        <w:rPr/>
        <w:drawing>
          <wp:anchor distT="0" distB="0" distL="0" distR="0" allowOverlap="1" layoutInCell="1" locked="0" behindDoc="0" simplePos="0" relativeHeight="1">
            <wp:simplePos x="0" y="0"/>
            <wp:positionH relativeFrom="page">
              <wp:posOffset>5557265</wp:posOffset>
            </wp:positionH>
            <wp:positionV relativeFrom="paragraph">
              <wp:posOffset>215646</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3"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http://www.customs.gov.au/site/page.cfm?u=492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2004/38</dc:title>
  <dcterms:created xsi:type="dcterms:W3CDTF">2020-12-09T23:17:03Z</dcterms:created>
  <dcterms:modified xsi:type="dcterms:W3CDTF">2020-12-09T23:17:03Z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2004-09-15T00:00:00Z</vt:filetime>
  </property>
  <property fmtid="{D5CDD505-2E9C-101B-9397-08002B2CF9AE}" pid="3" name="Creator">
    <vt:lpwstr>PScript5.dll Version 5.2</vt:lpwstr>
  </property>
  <property fmtid="{D5CDD505-2E9C-101B-9397-08002B2CF9AE}" pid="4" name="LastSaved">
    <vt:filetime>2020-12-09T00:00:00Z</vt:filetime>
  </property>
</Properties>
</file>