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-1049155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 MS NOTICE NO. 2005/07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3231" w:right="3224" w:firstLine="0"/>
        <w:jc w:val="center"/>
        <w:rPr>
          <w:b/>
          <w:sz w:val="28"/>
        </w:rPr>
      </w:pPr>
      <w:r>
        <w:rPr>
          <w:b/>
          <w:sz w:val="28"/>
        </w:rPr>
        <w:t>Application for customs broker's licence</w:t>
      </w:r>
    </w:p>
    <w:p>
      <w:pPr>
        <w:pStyle w:val="BodyText"/>
        <w:spacing w:before="242"/>
        <w:ind w:left="1701" w:right="238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5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NOMINEE LICENCE</w:t>
            </w:r>
          </w:p>
        </w:tc>
      </w:tr>
      <w:tr>
        <w:trPr>
          <w:trHeight w:val="103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Scan Logistics Pty Ltd</w:t>
            </w:r>
          </w:p>
          <w:p>
            <w:pPr>
              <w:pStyle w:val="TableParagraph"/>
              <w:ind w:right="1043"/>
              <w:rPr>
                <w:sz w:val="20"/>
              </w:rPr>
            </w:pPr>
            <w:r>
              <w:rPr>
                <w:sz w:val="20"/>
              </w:rPr>
              <w:t>Room 128 Melbourne Cargo Centre TULLAMARINE VIC 3043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04" w:right="1686" w:firstLine="2"/>
              <w:rPr>
                <w:sz w:val="20"/>
              </w:rPr>
            </w:pPr>
            <w:r>
              <w:rPr>
                <w:sz w:val="20"/>
              </w:rPr>
              <w:t>BAATZ-Nielsen Antje BARRY Geoffrey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Clinton</w:t>
            </w:r>
          </w:p>
          <w:p>
            <w:pPr>
              <w:pStyle w:val="TableParagraph"/>
              <w:spacing w:line="230" w:lineRule="exact" w:before="4"/>
              <w:ind w:right="1686" w:hanging="2"/>
              <w:rPr>
                <w:sz w:val="20"/>
              </w:rPr>
            </w:pPr>
            <w:r>
              <w:rPr>
                <w:sz w:val="20"/>
              </w:rPr>
              <w:t>SANOCKY Michael Paul TRONSON Louise </w:t>
            </w:r>
            <w:r>
              <w:rPr>
                <w:spacing w:val="-3"/>
                <w:sz w:val="20"/>
              </w:rPr>
              <w:t>Nicola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HANSEN Kaj Allan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34" w:hRule="atLeast"/>
        </w:trPr>
        <w:tc>
          <w:tcPr>
            <w:tcW w:w="4360" w:type="dxa"/>
            <w:tcBorders>
              <w:top w:val="nil"/>
            </w:tcBorders>
          </w:tcPr>
          <w:p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HAKANSSON Leif Tommy</w:t>
            </w:r>
          </w:p>
        </w:tc>
        <w:tc>
          <w:tcPr>
            <w:tcW w:w="436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701" w:right="1580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701" w:right="7722"/>
      </w:pPr>
      <w:r>
        <w:rPr/>
        <w:t>Australian Customs Service Brokers Licensing</w:t>
      </w:r>
    </w:p>
    <w:p>
      <w:pPr>
        <w:pStyle w:val="BodyText"/>
        <w:spacing w:line="230" w:lineRule="exact"/>
        <w:ind w:left="1701"/>
      </w:pPr>
      <w:r>
        <w:rPr/>
        <w:t>5 Constitution Avenue</w:t>
      </w:r>
    </w:p>
    <w:p>
      <w:pPr>
        <w:pStyle w:val="BodyText"/>
        <w:spacing w:before="1"/>
        <w:ind w:left="1701"/>
      </w:pPr>
      <w:r>
        <w:rPr/>
        <w:t>CANBERRA ACT 2601</w:t>
      </w:r>
    </w:p>
    <w:p>
      <w:pPr>
        <w:pStyle w:val="BodyText"/>
        <w:spacing w:before="184"/>
        <w:ind w:left="1701"/>
      </w:pPr>
      <w:r>
        <w:rPr/>
        <w:t>By 18 March 2005.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1701" w:right="8561"/>
        <w:jc w:val="both"/>
      </w:pPr>
      <w:r>
        <w:rPr/>
        <w:t>Philomena Carnell National Manager Cargo Branch</w:t>
      </w:r>
    </w:p>
    <w:p>
      <w:pPr>
        <w:pStyle w:val="BodyText"/>
        <w:spacing w:line="229" w:lineRule="exact"/>
        <w:ind w:left="1701"/>
      </w:pPr>
      <w:r>
        <w:rPr/>
        <w:t>For</w:t>
      </w:r>
    </w:p>
    <w:p>
      <w:pPr>
        <w:pStyle w:val="BodyText"/>
        <w:spacing w:line="364" w:lineRule="auto" w:before="184"/>
        <w:ind w:left="1701" w:right="8144"/>
      </w:pPr>
      <w:r>
        <w:rPr/>
        <w:t>Chief Executive Officer 1 March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182765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1701"/>
    </w:pPr>
    <w:rPr>
      <w:rFonts w:ascii="Helvetica" w:hAnsi="Helvetica" w:eastAsia="Helvetica" w:cs="Helvetic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2005/07</dc:title>
  <dcterms:created xsi:type="dcterms:W3CDTF">2020-12-09T22:43:45Z</dcterms:created>
  <dcterms:modified xsi:type="dcterms:W3CDTF">2020-12-09T22:43:45Z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