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-1289538</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28" w:id="1"/>
      <w:bookmarkEnd w:id="1"/>
      <w:r>
        <w:rPr>
          <w:b w:val="0"/>
        </w:rPr>
      </w:r>
      <w:r>
        <w:rPr/>
        <w:t>AUSTRALIAN CUSTOMS NOTICE NO. 2005/28</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spacing w:before="91"/>
        <w:ind w:left="4731" w:right="2108" w:hanging="2601"/>
        <w:jc w:val="left"/>
        <w:rPr>
          <w:sz w:val="28"/>
        </w:rPr>
      </w:pPr>
      <w:bookmarkStart w:name="Melbourne 2006 Commonwealth Games (Indic" w:id="2"/>
      <w:bookmarkEnd w:id="2"/>
      <w:r>
        <w:rPr/>
      </w:r>
      <w:r>
        <w:rPr>
          <w:sz w:val="28"/>
        </w:rPr>
        <w:t>Melbourne 2006 Commonwealth Games (Indicia and Images) Protection Act 2005</w:t>
      </w:r>
    </w:p>
    <w:p>
      <w:pPr>
        <w:pStyle w:val="BodyText"/>
        <w:rPr>
          <w:sz w:val="30"/>
        </w:rPr>
      </w:pPr>
    </w:p>
    <w:p>
      <w:pPr>
        <w:pStyle w:val="Heading1"/>
        <w:spacing w:before="174"/>
        <w:ind w:left="1851" w:firstLine="0"/>
      </w:pPr>
      <w:r>
        <w:rPr/>
        <w:t>Introduction</w:t>
      </w:r>
    </w:p>
    <w:p>
      <w:pPr>
        <w:pStyle w:val="BodyText"/>
        <w:spacing w:before="10"/>
        <w:rPr>
          <w:b/>
          <w:sz w:val="19"/>
        </w:rPr>
      </w:pPr>
    </w:p>
    <w:p>
      <w:pPr>
        <w:spacing w:before="0"/>
        <w:ind w:left="1851" w:right="1758" w:firstLine="0"/>
        <w:jc w:val="left"/>
        <w:rPr>
          <w:sz w:val="20"/>
        </w:rPr>
      </w:pPr>
      <w:r>
        <w:rPr>
          <w:sz w:val="20"/>
        </w:rPr>
        <w:t>This is a guide to the operation of the Customs seizure provisions of the </w:t>
      </w:r>
      <w:r>
        <w:rPr>
          <w:i/>
          <w:sz w:val="20"/>
        </w:rPr>
        <w:t>Melbourne 2006 Commonwealth Games (Indicia and Images) Protection Act 2005 </w:t>
      </w:r>
      <w:r>
        <w:rPr>
          <w:sz w:val="20"/>
        </w:rPr>
        <w:t>(the Act) and is intended for the owners and authorised users of the Melbourne 2006 Commonwealth Games (the Games) indicia and images. The Act came into effect on 26 June 2005 and ceases to have effect on 30 June 2006.</w:t>
      </w:r>
    </w:p>
    <w:p>
      <w:pPr>
        <w:pStyle w:val="BodyText"/>
      </w:pPr>
    </w:p>
    <w:p>
      <w:pPr>
        <w:pStyle w:val="BodyText"/>
        <w:ind w:left="1851" w:right="1713"/>
      </w:pPr>
      <w:r>
        <w:rPr/>
        <w:t>The Act establishes a legislative scheme to permit the owner of material bearing the Games indicia and/or images, or an authorised user, to object to the importation of goods which allegedly infringe their usage of these indicia and/or images for commercial purposes. It is recommended that persons considering lodgement of a Notice of Objection discuss the matter with their legal advisers before proceeding with the Notice.</w:t>
      </w:r>
    </w:p>
    <w:p>
      <w:pPr>
        <w:pStyle w:val="BodyText"/>
      </w:pPr>
    </w:p>
    <w:p>
      <w:pPr>
        <w:pStyle w:val="BodyText"/>
        <w:ind w:left="1851" w:right="1735"/>
      </w:pPr>
      <w:r>
        <w:rPr/>
        <w:t>The Act is designed to prevent the unauthorised commercial use of certain indicia and images associated with the Games, in order to provide a more secure environment in which the Melbourne 2006 Commonwealth Games Corporation can raise revenue through sponsorship and can prevent ambush marketing.</w:t>
      </w:r>
    </w:p>
    <w:p>
      <w:pPr>
        <w:pStyle w:val="BodyText"/>
      </w:pPr>
    </w:p>
    <w:p>
      <w:pPr>
        <w:pStyle w:val="BodyText"/>
        <w:ind w:left="1851" w:right="1747"/>
      </w:pPr>
      <w:r>
        <w:rPr/>
        <w:t>Customs is working closely with the Melbourne 2006 Commonwealth Games Corporation and will ensure that only authorised licence holders are able to import merchandise with the approved logos and associated markings.</w:t>
      </w:r>
    </w:p>
    <w:p>
      <w:pPr>
        <w:pStyle w:val="BodyText"/>
        <w:rPr>
          <w:sz w:val="22"/>
        </w:rPr>
      </w:pPr>
    </w:p>
    <w:p>
      <w:pPr>
        <w:pStyle w:val="BodyText"/>
        <w:spacing w:before="1"/>
        <w:rPr>
          <w:sz w:val="18"/>
        </w:rPr>
      </w:pPr>
    </w:p>
    <w:p>
      <w:pPr>
        <w:pStyle w:val="Heading1"/>
        <w:numPr>
          <w:ilvl w:val="0"/>
          <w:numId w:val="1"/>
        </w:numPr>
        <w:tabs>
          <w:tab w:pos="2074" w:val="left" w:leader="none"/>
        </w:tabs>
        <w:spacing w:line="240" w:lineRule="auto" w:before="0" w:after="0"/>
        <w:ind w:left="2073" w:right="0" w:hanging="223"/>
        <w:jc w:val="left"/>
      </w:pPr>
      <w:r>
        <w:rPr/>
        <w:t>Outline</w:t>
      </w:r>
    </w:p>
    <w:p>
      <w:pPr>
        <w:pStyle w:val="BodyText"/>
        <w:spacing w:before="11"/>
        <w:rPr>
          <w:b/>
          <w:sz w:val="19"/>
        </w:rPr>
      </w:pPr>
    </w:p>
    <w:p>
      <w:pPr>
        <w:pStyle w:val="BodyText"/>
        <w:ind w:left="1851" w:right="2157"/>
      </w:pPr>
      <w:r>
        <w:rPr/>
        <w:t>Section 20 of the Act establishes a scheme for lodging a Notice of Objection in respect of these goods and section 21 of the Act empowers Customs to seize such goods pending resolution of an action brought by the objector as to whether the importation of the goods infringes notified indicia and/or images.</w:t>
      </w:r>
    </w:p>
    <w:p>
      <w:pPr>
        <w:pStyle w:val="BodyText"/>
        <w:rPr>
          <w:sz w:val="22"/>
        </w:rPr>
      </w:pPr>
    </w:p>
    <w:p>
      <w:pPr>
        <w:pStyle w:val="BodyText"/>
        <w:rPr>
          <w:sz w:val="18"/>
        </w:rPr>
      </w:pPr>
    </w:p>
    <w:p>
      <w:pPr>
        <w:pStyle w:val="Heading1"/>
        <w:numPr>
          <w:ilvl w:val="0"/>
          <w:numId w:val="1"/>
        </w:numPr>
        <w:tabs>
          <w:tab w:pos="2074" w:val="left" w:leader="none"/>
        </w:tabs>
        <w:spacing w:line="240" w:lineRule="auto" w:before="0" w:after="0"/>
        <w:ind w:left="2073" w:right="0" w:hanging="223"/>
        <w:jc w:val="left"/>
      </w:pPr>
      <w:r>
        <w:rPr/>
        <w:t>The Legislative Scheme - Seizure</w:t>
      </w:r>
      <w:r>
        <w:rPr>
          <w:spacing w:val="-6"/>
        </w:rPr>
        <w:t> </w:t>
      </w:r>
      <w:r>
        <w:rPr/>
        <w:t>Provisions</w:t>
      </w:r>
    </w:p>
    <w:p>
      <w:pPr>
        <w:pStyle w:val="BodyText"/>
        <w:rPr>
          <w:b/>
        </w:rPr>
      </w:pPr>
    </w:p>
    <w:p>
      <w:pPr>
        <w:pStyle w:val="BodyText"/>
        <w:spacing w:line="230" w:lineRule="exact"/>
        <w:ind w:left="1851"/>
      </w:pPr>
      <w:r>
        <w:rPr/>
        <w:t>Section 21 of the Act provides that where:</w:t>
      </w:r>
    </w:p>
    <w:p>
      <w:pPr>
        <w:pStyle w:val="ListParagraph"/>
        <w:numPr>
          <w:ilvl w:val="1"/>
          <w:numId w:val="1"/>
        </w:numPr>
        <w:tabs>
          <w:tab w:pos="2422" w:val="left" w:leader="none"/>
        </w:tabs>
        <w:spacing w:line="240" w:lineRule="auto" w:before="0" w:after="0"/>
        <w:ind w:left="2421" w:right="2351" w:hanging="363"/>
        <w:jc w:val="left"/>
        <w:rPr>
          <w:sz w:val="20"/>
        </w:rPr>
      </w:pPr>
      <w:r>
        <w:rPr>
          <w:sz w:val="20"/>
        </w:rPr>
        <w:t>goods manufactured outside Australia have been imported into Australia and</w:t>
      </w:r>
      <w:r>
        <w:rPr>
          <w:spacing w:val="-17"/>
          <w:sz w:val="20"/>
        </w:rPr>
        <w:t> </w:t>
      </w:r>
      <w:r>
        <w:rPr>
          <w:sz w:val="20"/>
        </w:rPr>
        <w:t>are subject to the control of Customs;</w:t>
      </w:r>
      <w:r>
        <w:rPr>
          <w:spacing w:val="-9"/>
          <w:sz w:val="20"/>
        </w:rPr>
        <w:t> </w:t>
      </w:r>
      <w:r>
        <w:rPr>
          <w:sz w:val="20"/>
        </w:rPr>
        <w:t>and</w:t>
      </w:r>
    </w:p>
    <w:p>
      <w:pPr>
        <w:pStyle w:val="ListParagraph"/>
        <w:numPr>
          <w:ilvl w:val="1"/>
          <w:numId w:val="1"/>
        </w:numPr>
        <w:tabs>
          <w:tab w:pos="2422" w:val="left" w:leader="none"/>
        </w:tabs>
        <w:spacing w:line="240" w:lineRule="auto" w:before="0" w:after="0"/>
        <w:ind w:left="2421" w:right="1814" w:hanging="363"/>
        <w:jc w:val="left"/>
        <w:rPr>
          <w:sz w:val="20"/>
        </w:rPr>
      </w:pPr>
      <w:r>
        <w:rPr>
          <w:sz w:val="20"/>
        </w:rPr>
        <w:t>the imported goods have had applied to them Melbourne 2006 Commonwealth Games indicia and/or images;</w:t>
      </w:r>
      <w:r>
        <w:rPr>
          <w:spacing w:val="-5"/>
          <w:sz w:val="20"/>
        </w:rPr>
        <w:t> </w:t>
      </w:r>
      <w:r>
        <w:rPr>
          <w:sz w:val="20"/>
        </w:rPr>
        <w:t>and</w:t>
      </w:r>
    </w:p>
    <w:p>
      <w:pPr>
        <w:pStyle w:val="ListParagraph"/>
        <w:numPr>
          <w:ilvl w:val="1"/>
          <w:numId w:val="1"/>
        </w:numPr>
        <w:tabs>
          <w:tab w:pos="2423" w:val="left" w:leader="none"/>
        </w:tabs>
        <w:spacing w:line="240" w:lineRule="auto" w:before="0" w:after="0"/>
        <w:ind w:left="2421" w:right="1736" w:hanging="363"/>
        <w:jc w:val="left"/>
        <w:rPr>
          <w:sz w:val="20"/>
        </w:rPr>
      </w:pPr>
      <w:r>
        <w:rPr>
          <w:sz w:val="20"/>
        </w:rPr>
        <w:t>there has been given to Customs a Notice in writing objecting to the importation of goods that have applied to them Melbourne 2006 Commonwealth Games indicia and/or images, in respect of the imported goods;</w:t>
      </w:r>
      <w:r>
        <w:rPr>
          <w:spacing w:val="-8"/>
          <w:sz w:val="20"/>
        </w:rPr>
        <w:t> </w:t>
      </w:r>
      <w:r>
        <w:rPr>
          <w:sz w:val="20"/>
        </w:rPr>
        <w:t>and</w:t>
      </w:r>
    </w:p>
    <w:p>
      <w:pPr>
        <w:pStyle w:val="ListParagraph"/>
        <w:numPr>
          <w:ilvl w:val="1"/>
          <w:numId w:val="1"/>
        </w:numPr>
        <w:tabs>
          <w:tab w:pos="2422" w:val="left" w:leader="none"/>
        </w:tabs>
        <w:spacing w:line="240" w:lineRule="auto" w:before="0" w:after="0"/>
        <w:ind w:left="2421" w:right="2552" w:hanging="363"/>
        <w:jc w:val="left"/>
        <w:rPr>
          <w:sz w:val="20"/>
        </w:rPr>
      </w:pPr>
      <w:r>
        <w:rPr>
          <w:sz w:val="20"/>
        </w:rPr>
        <w:t>the goods, in the opinion of Customs, have applied to them Melbourne 2006 Commonwealth Games indicia and/or images that the designated owner is</w:t>
      </w:r>
      <w:r>
        <w:rPr>
          <w:spacing w:val="-23"/>
          <w:sz w:val="20"/>
        </w:rPr>
        <w:t> </w:t>
      </w:r>
      <w:r>
        <w:rPr>
          <w:sz w:val="20"/>
        </w:rPr>
        <w:t>not authorised by the Act to use for commercial</w:t>
      </w:r>
      <w:r>
        <w:rPr>
          <w:spacing w:val="-14"/>
          <w:sz w:val="20"/>
        </w:rPr>
        <w:t> </w:t>
      </w:r>
      <w:r>
        <w:rPr>
          <w:sz w:val="20"/>
        </w:rPr>
        <w:t>purposes;</w:t>
      </w:r>
    </w:p>
    <w:p>
      <w:pPr>
        <w:pStyle w:val="BodyText"/>
      </w:pPr>
    </w:p>
    <w:p>
      <w:pPr>
        <w:pStyle w:val="BodyText"/>
      </w:pPr>
    </w:p>
    <w:p>
      <w:pPr>
        <w:pStyle w:val="BodyText"/>
      </w:pPr>
    </w:p>
    <w:p>
      <w:pPr>
        <w:pStyle w:val="BodyText"/>
        <w:spacing w:before="10"/>
        <w:rPr>
          <w:sz w:val="21"/>
        </w:rPr>
      </w:pPr>
      <w:r>
        <w:rPr/>
        <w:drawing>
          <wp:anchor distT="0" distB="0" distL="0" distR="0" allowOverlap="1" layoutInCell="1" locked="0" behindDoc="0" simplePos="0" relativeHeight="1">
            <wp:simplePos x="0" y="0"/>
            <wp:positionH relativeFrom="page">
              <wp:posOffset>5557265</wp:posOffset>
            </wp:positionH>
            <wp:positionV relativeFrom="paragraph">
              <wp:posOffset>184862</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21"/>
        </w:rPr>
        <w:sectPr>
          <w:type w:val="continuous"/>
          <w:pgSz w:w="11900" w:h="16840"/>
          <w:pgMar w:top="860" w:bottom="280" w:left="0" w:right="0"/>
        </w:sectPr>
      </w:pPr>
    </w:p>
    <w:p>
      <w:pPr>
        <w:pStyle w:val="Heading1"/>
        <w:spacing w:before="78"/>
        <w:ind w:left="1851" w:right="1816" w:firstLine="0"/>
      </w:pPr>
      <w:r>
        <w:rPr/>
        <w:t>then Customs must seize the imported goods </w:t>
      </w:r>
      <w:r>
        <w:rPr>
          <w:u w:val="thick"/>
        </w:rPr>
        <w:t>unless</w:t>
      </w:r>
      <w:r>
        <w:rPr/>
        <w:t> there are reasonable grounds for believing:</w:t>
      </w:r>
    </w:p>
    <w:p>
      <w:pPr>
        <w:pStyle w:val="BodyText"/>
        <w:rPr>
          <w:b/>
          <w:sz w:val="21"/>
        </w:rPr>
      </w:pPr>
    </w:p>
    <w:p>
      <w:pPr>
        <w:pStyle w:val="ListParagraph"/>
        <w:numPr>
          <w:ilvl w:val="0"/>
          <w:numId w:val="2"/>
        </w:numPr>
        <w:tabs>
          <w:tab w:pos="2421" w:val="left" w:leader="none"/>
          <w:tab w:pos="2422" w:val="left" w:leader="none"/>
        </w:tabs>
        <w:spacing w:line="240" w:lineRule="auto" w:before="1" w:after="0"/>
        <w:ind w:left="2421" w:right="1738" w:hanging="363"/>
        <w:jc w:val="left"/>
        <w:rPr>
          <w:sz w:val="20"/>
        </w:rPr>
      </w:pPr>
      <w:r>
        <w:rPr>
          <w:sz w:val="20"/>
        </w:rPr>
        <w:t>the Games indicia and/or images (refer section 12 of the Act) would not be contravened by the use by the designated owner of the indicia and/or images for commercial purposes;</w:t>
      </w:r>
      <w:r>
        <w:rPr>
          <w:spacing w:val="-2"/>
          <w:sz w:val="20"/>
        </w:rPr>
        <w:t> </w:t>
      </w:r>
      <w:r>
        <w:rPr>
          <w:sz w:val="20"/>
        </w:rPr>
        <w:t>or</w:t>
      </w:r>
    </w:p>
    <w:p>
      <w:pPr>
        <w:pStyle w:val="ListParagraph"/>
        <w:numPr>
          <w:ilvl w:val="0"/>
          <w:numId w:val="2"/>
        </w:numPr>
        <w:tabs>
          <w:tab w:pos="2422" w:val="left" w:leader="none"/>
        </w:tabs>
        <w:spacing w:line="240" w:lineRule="auto" w:before="13" w:after="0"/>
        <w:ind w:left="2421" w:right="2151" w:hanging="363"/>
        <w:jc w:val="both"/>
        <w:rPr>
          <w:sz w:val="20"/>
        </w:rPr>
      </w:pPr>
      <w:r>
        <w:rPr>
          <w:sz w:val="20"/>
        </w:rPr>
        <w:t>the objector has not provided sufficient security to reimburse the Commonwealth in respect of expenses that may be incurred by the Commonwealth if the goods were seized.</w:t>
      </w:r>
    </w:p>
    <w:p>
      <w:pPr>
        <w:pStyle w:val="BodyText"/>
      </w:pPr>
    </w:p>
    <w:p>
      <w:pPr>
        <w:pStyle w:val="BodyText"/>
        <w:ind w:left="1701" w:right="1758"/>
      </w:pPr>
      <w:r>
        <w:rPr/>
        <w:t>The legislative scheme does not provide for seizure of goods which are imported for the personal use of the importer and are not intended to be dealt with or provided for commercial purposes (refer section 9 of the Act). It also does not empower Customs to take seizure action on its own behalf.</w:t>
      </w:r>
    </w:p>
    <w:p>
      <w:pPr>
        <w:pStyle w:val="BodyText"/>
      </w:pPr>
    </w:p>
    <w:p>
      <w:pPr>
        <w:pStyle w:val="BodyText"/>
        <w:ind w:left="1701"/>
      </w:pPr>
      <w:r>
        <w:rPr/>
        <w:t>It is important to note that the seizure powers are drawn directly from section 21(2) of the Act.</w:t>
      </w:r>
    </w:p>
    <w:p>
      <w:pPr>
        <w:pStyle w:val="BodyText"/>
        <w:spacing w:before="1"/>
      </w:pPr>
    </w:p>
    <w:p>
      <w:pPr>
        <w:spacing w:line="230" w:lineRule="exact" w:before="0"/>
        <w:ind w:left="1701" w:right="0" w:firstLine="0"/>
        <w:jc w:val="left"/>
        <w:rPr>
          <w:i/>
          <w:sz w:val="20"/>
        </w:rPr>
      </w:pPr>
      <w:r>
        <w:rPr>
          <w:b/>
          <w:sz w:val="20"/>
        </w:rPr>
        <w:t>NOTE: </w:t>
      </w:r>
      <w:r>
        <w:rPr>
          <w:sz w:val="20"/>
        </w:rPr>
        <w:t>The </w:t>
      </w:r>
      <w:r>
        <w:rPr>
          <w:i/>
          <w:sz w:val="20"/>
        </w:rPr>
        <w:t>Melbourne 2006 Commonwealth Games (Indicia and Images) Protection Act 2005</w:t>
      </w:r>
    </w:p>
    <w:p>
      <w:pPr>
        <w:pStyle w:val="BodyText"/>
        <w:spacing w:line="230" w:lineRule="exact"/>
        <w:ind w:left="1701"/>
      </w:pPr>
      <w:r>
        <w:rPr/>
        <w:t>contains the following definitions:</w:t>
      </w:r>
    </w:p>
    <w:p>
      <w:pPr>
        <w:pStyle w:val="BodyText"/>
        <w:spacing w:before="11"/>
        <w:rPr>
          <w:sz w:val="19"/>
        </w:rPr>
      </w:pPr>
    </w:p>
    <w:p>
      <w:pPr>
        <w:pStyle w:val="BodyText"/>
        <w:ind w:left="2059"/>
      </w:pPr>
      <w:r>
        <w:rPr>
          <w:rFonts w:ascii="Arial-BoldItalicMT"/>
          <w:b/>
          <w:i/>
        </w:rPr>
        <w:t>ACGA </w:t>
      </w:r>
      <w:r>
        <w:rPr/>
        <w:t>means the Australian Commonwealth Games Association (ABN 55 165 736 898).</w:t>
      </w:r>
    </w:p>
    <w:p>
      <w:pPr>
        <w:pStyle w:val="BodyText"/>
        <w:spacing w:before="1"/>
      </w:pPr>
    </w:p>
    <w:p>
      <w:pPr>
        <w:spacing w:line="230" w:lineRule="exact" w:before="0"/>
        <w:ind w:left="2059" w:right="0" w:firstLine="0"/>
        <w:jc w:val="left"/>
        <w:rPr>
          <w:sz w:val="20"/>
        </w:rPr>
      </w:pPr>
      <w:r>
        <w:rPr>
          <w:rFonts w:ascii="Arial-BoldItalicMT"/>
          <w:b/>
          <w:i/>
          <w:sz w:val="20"/>
        </w:rPr>
        <w:t>authorised user </w:t>
      </w:r>
      <w:r>
        <w:rPr>
          <w:sz w:val="20"/>
        </w:rPr>
        <w:t>means:</w:t>
      </w:r>
    </w:p>
    <w:p>
      <w:pPr>
        <w:pStyle w:val="ListParagraph"/>
        <w:numPr>
          <w:ilvl w:val="2"/>
          <w:numId w:val="1"/>
        </w:numPr>
        <w:tabs>
          <w:tab w:pos="2782" w:val="left" w:leader="none"/>
        </w:tabs>
        <w:spacing w:line="240" w:lineRule="auto" w:before="0" w:after="0"/>
        <w:ind w:left="2781" w:right="1781" w:hanging="360"/>
        <w:jc w:val="left"/>
        <w:rPr>
          <w:sz w:val="20"/>
        </w:rPr>
      </w:pPr>
      <w:r>
        <w:rPr>
          <w:sz w:val="20"/>
        </w:rPr>
        <w:t>a person authorised by the Melbourne 2006 Commonwealth Games Corporation</w:t>
      </w:r>
      <w:r>
        <w:rPr>
          <w:spacing w:val="-24"/>
          <w:sz w:val="20"/>
        </w:rPr>
        <w:t> </w:t>
      </w:r>
      <w:r>
        <w:rPr>
          <w:sz w:val="20"/>
        </w:rPr>
        <w:t>to use Melbourne 2006 Commonwealth Games indicia or images under section 56D of the </w:t>
      </w:r>
      <w:r>
        <w:rPr>
          <w:b/>
          <w:sz w:val="20"/>
        </w:rPr>
        <w:t>Commonwealth Games Arrangements Act 2001 </w:t>
      </w:r>
      <w:r>
        <w:rPr>
          <w:sz w:val="20"/>
        </w:rPr>
        <w:t>of Victoria;</w:t>
      </w:r>
      <w:r>
        <w:rPr>
          <w:spacing w:val="-15"/>
          <w:sz w:val="20"/>
        </w:rPr>
        <w:t> </w:t>
      </w:r>
      <w:r>
        <w:rPr>
          <w:sz w:val="20"/>
        </w:rPr>
        <w:t>and</w:t>
      </w:r>
    </w:p>
    <w:p>
      <w:pPr>
        <w:pStyle w:val="ListParagraph"/>
        <w:numPr>
          <w:ilvl w:val="2"/>
          <w:numId w:val="1"/>
        </w:numPr>
        <w:tabs>
          <w:tab w:pos="2782" w:val="left" w:leader="none"/>
        </w:tabs>
        <w:spacing w:line="240" w:lineRule="auto" w:before="0" w:after="0"/>
        <w:ind w:left="2781" w:right="0" w:hanging="361"/>
        <w:jc w:val="left"/>
        <w:rPr>
          <w:sz w:val="20"/>
        </w:rPr>
      </w:pPr>
      <w:r>
        <w:rPr>
          <w:sz w:val="20"/>
        </w:rPr>
        <w:t>the ACGA;</w:t>
      </w:r>
      <w:r>
        <w:rPr>
          <w:spacing w:val="-3"/>
          <w:sz w:val="20"/>
        </w:rPr>
        <w:t> </w:t>
      </w:r>
      <w:r>
        <w:rPr>
          <w:sz w:val="20"/>
        </w:rPr>
        <w:t>and</w:t>
      </w:r>
    </w:p>
    <w:p>
      <w:pPr>
        <w:pStyle w:val="ListParagraph"/>
        <w:numPr>
          <w:ilvl w:val="2"/>
          <w:numId w:val="1"/>
        </w:numPr>
        <w:tabs>
          <w:tab w:pos="2783" w:val="left" w:leader="none"/>
        </w:tabs>
        <w:spacing w:line="240" w:lineRule="auto" w:before="0" w:after="0"/>
        <w:ind w:left="2782" w:right="0" w:hanging="362"/>
        <w:jc w:val="left"/>
        <w:rPr>
          <w:sz w:val="20"/>
        </w:rPr>
      </w:pPr>
      <w:r>
        <w:rPr>
          <w:sz w:val="20"/>
        </w:rPr>
        <w:t>the</w:t>
      </w:r>
      <w:r>
        <w:rPr>
          <w:spacing w:val="-2"/>
          <w:sz w:val="20"/>
        </w:rPr>
        <w:t> </w:t>
      </w:r>
      <w:r>
        <w:rPr>
          <w:sz w:val="20"/>
        </w:rPr>
        <w:t>CGF.</w:t>
      </w:r>
    </w:p>
    <w:p>
      <w:pPr>
        <w:pStyle w:val="BodyText"/>
        <w:spacing w:before="11"/>
        <w:rPr>
          <w:sz w:val="19"/>
        </w:rPr>
      </w:pPr>
    </w:p>
    <w:p>
      <w:pPr>
        <w:pStyle w:val="BodyText"/>
        <w:ind w:left="2059" w:right="2428"/>
      </w:pPr>
      <w:r>
        <w:rPr>
          <w:rFonts w:ascii="Arial-BoldItalicMT"/>
          <w:b/>
          <w:i/>
        </w:rPr>
        <w:t>CGF </w:t>
      </w:r>
      <w:r>
        <w:rPr/>
        <w:t>means the body known as the Commonwealth Games Federation that has the responsibility for the direction and control of the Commonwealth Games.</w:t>
      </w:r>
    </w:p>
    <w:p>
      <w:pPr>
        <w:pStyle w:val="BodyText"/>
      </w:pPr>
    </w:p>
    <w:p>
      <w:pPr>
        <w:spacing w:before="0"/>
        <w:ind w:left="2059" w:right="1817" w:firstLine="0"/>
        <w:jc w:val="left"/>
        <w:rPr>
          <w:sz w:val="20"/>
        </w:rPr>
      </w:pPr>
      <w:r>
        <w:rPr>
          <w:rFonts w:ascii="Arial-BoldItalicMT"/>
          <w:b/>
          <w:i/>
          <w:sz w:val="20"/>
        </w:rPr>
        <w:t>Melbourne 2006 Commonwealth Games </w:t>
      </w:r>
      <w:r>
        <w:rPr>
          <w:sz w:val="20"/>
        </w:rPr>
        <w:t>means the 18th Commonwealth Games held in Melbourne in 2006.</w:t>
      </w:r>
    </w:p>
    <w:p>
      <w:pPr>
        <w:pStyle w:val="BodyText"/>
      </w:pPr>
    </w:p>
    <w:p>
      <w:pPr>
        <w:pStyle w:val="Heading2"/>
        <w:rPr>
          <w:rFonts w:ascii="Arial"/>
          <w:b w:val="0"/>
          <w:i w:val="0"/>
        </w:rPr>
      </w:pPr>
      <w:r>
        <w:rPr/>
        <w:t>Melbourne 2006 Commonwealth Games body </w:t>
      </w:r>
      <w:r>
        <w:rPr>
          <w:rFonts w:ascii="Arial"/>
          <w:b w:val="0"/>
          <w:i w:val="0"/>
        </w:rPr>
        <w:t>means:</w:t>
      </w:r>
    </w:p>
    <w:p>
      <w:pPr>
        <w:pStyle w:val="ListParagraph"/>
        <w:numPr>
          <w:ilvl w:val="0"/>
          <w:numId w:val="3"/>
        </w:numPr>
        <w:tabs>
          <w:tab w:pos="2782" w:val="left" w:leader="none"/>
        </w:tabs>
        <w:spacing w:line="240" w:lineRule="auto" w:before="1" w:after="0"/>
        <w:ind w:left="2781" w:right="0" w:hanging="361"/>
        <w:jc w:val="left"/>
        <w:rPr>
          <w:sz w:val="20"/>
        </w:rPr>
      </w:pPr>
      <w:r>
        <w:rPr>
          <w:sz w:val="20"/>
        </w:rPr>
        <w:t>the Melbourne 2006 Commonwealth Games Corporation;</w:t>
      </w:r>
      <w:r>
        <w:rPr>
          <w:spacing w:val="-9"/>
          <w:sz w:val="20"/>
        </w:rPr>
        <w:t> </w:t>
      </w:r>
      <w:r>
        <w:rPr>
          <w:sz w:val="20"/>
        </w:rPr>
        <w:t>and</w:t>
      </w:r>
    </w:p>
    <w:p>
      <w:pPr>
        <w:pStyle w:val="ListParagraph"/>
        <w:numPr>
          <w:ilvl w:val="0"/>
          <w:numId w:val="3"/>
        </w:numPr>
        <w:tabs>
          <w:tab w:pos="2782" w:val="left" w:leader="none"/>
        </w:tabs>
        <w:spacing w:line="230" w:lineRule="exact" w:before="0" w:after="0"/>
        <w:ind w:left="2781" w:right="0" w:hanging="361"/>
        <w:jc w:val="left"/>
        <w:rPr>
          <w:sz w:val="20"/>
        </w:rPr>
      </w:pPr>
      <w:r>
        <w:rPr>
          <w:sz w:val="20"/>
        </w:rPr>
        <w:t>the ACGA;</w:t>
      </w:r>
      <w:r>
        <w:rPr>
          <w:spacing w:val="-3"/>
          <w:sz w:val="20"/>
        </w:rPr>
        <w:t> </w:t>
      </w:r>
      <w:r>
        <w:rPr>
          <w:sz w:val="20"/>
        </w:rPr>
        <w:t>and</w:t>
      </w:r>
    </w:p>
    <w:p>
      <w:pPr>
        <w:pStyle w:val="ListParagraph"/>
        <w:numPr>
          <w:ilvl w:val="0"/>
          <w:numId w:val="3"/>
        </w:numPr>
        <w:tabs>
          <w:tab w:pos="2783" w:val="left" w:leader="none"/>
        </w:tabs>
        <w:spacing w:line="230" w:lineRule="exact" w:before="0" w:after="0"/>
        <w:ind w:left="2782" w:right="0" w:hanging="362"/>
        <w:jc w:val="left"/>
        <w:rPr>
          <w:sz w:val="20"/>
        </w:rPr>
      </w:pPr>
      <w:r>
        <w:rPr>
          <w:sz w:val="20"/>
        </w:rPr>
        <w:t>the</w:t>
      </w:r>
      <w:r>
        <w:rPr>
          <w:spacing w:val="-2"/>
          <w:sz w:val="20"/>
        </w:rPr>
        <w:t> </w:t>
      </w:r>
      <w:r>
        <w:rPr>
          <w:sz w:val="20"/>
        </w:rPr>
        <w:t>CGF.</w:t>
      </w:r>
    </w:p>
    <w:p>
      <w:pPr>
        <w:pStyle w:val="BodyText"/>
      </w:pPr>
    </w:p>
    <w:p>
      <w:pPr>
        <w:spacing w:before="0"/>
        <w:ind w:left="2059" w:right="2173" w:firstLine="0"/>
        <w:jc w:val="left"/>
        <w:rPr>
          <w:sz w:val="20"/>
        </w:rPr>
      </w:pPr>
      <w:r>
        <w:rPr>
          <w:rFonts w:ascii="Arial-BoldItalicMT"/>
          <w:b/>
          <w:i/>
          <w:sz w:val="20"/>
        </w:rPr>
        <w:t>Melbourne 2006 Commonwealth Games Corporation </w:t>
      </w:r>
      <w:r>
        <w:rPr>
          <w:sz w:val="20"/>
        </w:rPr>
        <w:t>means the Melbourne 2006 Commonwealth Games Corporation established under Part 1A of the </w:t>
      </w:r>
      <w:r>
        <w:rPr>
          <w:b/>
          <w:sz w:val="20"/>
        </w:rPr>
        <w:t>Commonwealth Games Arrangements Act 2001 </w:t>
      </w:r>
      <w:r>
        <w:rPr>
          <w:sz w:val="20"/>
        </w:rPr>
        <w:t>of Victoria.</w:t>
      </w:r>
    </w:p>
    <w:p>
      <w:pPr>
        <w:pStyle w:val="BodyText"/>
      </w:pPr>
    </w:p>
    <w:p>
      <w:pPr>
        <w:pStyle w:val="BodyText"/>
        <w:ind w:left="2059" w:right="2194"/>
      </w:pPr>
      <w:r>
        <w:rPr>
          <w:rFonts w:ascii="Arial-BoldItalicMT"/>
          <w:b/>
          <w:i/>
        </w:rPr>
        <w:t>Melbourne 2006 Commonwealth Games images </w:t>
      </w:r>
      <w:r>
        <w:rPr/>
        <w:t>means any visual or aural representations that, to a reasonable person, in the circumstances of the presentation, would suggest a connection with the Melbourne 2006 Commonwealth</w:t>
      </w:r>
      <w:r>
        <w:rPr>
          <w:spacing w:val="-15"/>
        </w:rPr>
        <w:t> </w:t>
      </w:r>
      <w:r>
        <w:rPr/>
        <w:t>Games.</w:t>
      </w:r>
    </w:p>
    <w:p>
      <w:pPr>
        <w:pStyle w:val="BodyText"/>
      </w:pPr>
    </w:p>
    <w:p>
      <w:pPr>
        <w:spacing w:line="230" w:lineRule="exact" w:before="1"/>
        <w:ind w:left="2059" w:right="0" w:firstLine="0"/>
        <w:jc w:val="left"/>
        <w:rPr>
          <w:sz w:val="20"/>
        </w:rPr>
      </w:pPr>
      <w:r>
        <w:rPr>
          <w:rFonts w:ascii="Arial-BoldItalicMT"/>
          <w:b/>
          <w:i/>
          <w:sz w:val="20"/>
        </w:rPr>
        <w:t>Melbourne</w:t>
      </w:r>
      <w:r>
        <w:rPr>
          <w:rFonts w:ascii="Arial-BoldItalicMT"/>
          <w:b/>
          <w:i/>
          <w:spacing w:val="-6"/>
          <w:sz w:val="20"/>
        </w:rPr>
        <w:t> </w:t>
      </w:r>
      <w:r>
        <w:rPr>
          <w:rFonts w:ascii="Arial-BoldItalicMT"/>
          <w:b/>
          <w:i/>
          <w:sz w:val="20"/>
        </w:rPr>
        <w:t>2006</w:t>
      </w:r>
      <w:r>
        <w:rPr>
          <w:rFonts w:ascii="Arial-BoldItalicMT"/>
          <w:b/>
          <w:i/>
          <w:spacing w:val="-6"/>
          <w:sz w:val="20"/>
        </w:rPr>
        <w:t> </w:t>
      </w:r>
      <w:r>
        <w:rPr>
          <w:rFonts w:ascii="Arial-BoldItalicMT"/>
          <w:b/>
          <w:i/>
          <w:sz w:val="20"/>
        </w:rPr>
        <w:t>Commonwealth</w:t>
      </w:r>
      <w:r>
        <w:rPr>
          <w:rFonts w:ascii="Arial-BoldItalicMT"/>
          <w:b/>
          <w:i/>
          <w:spacing w:val="-5"/>
          <w:sz w:val="20"/>
        </w:rPr>
        <w:t> </w:t>
      </w:r>
      <w:r>
        <w:rPr>
          <w:rFonts w:ascii="Arial-BoldItalicMT"/>
          <w:b/>
          <w:i/>
          <w:sz w:val="20"/>
        </w:rPr>
        <w:t>Games</w:t>
      </w:r>
      <w:r>
        <w:rPr>
          <w:rFonts w:ascii="Arial-BoldItalicMT"/>
          <w:b/>
          <w:i/>
          <w:spacing w:val="-6"/>
          <w:sz w:val="20"/>
        </w:rPr>
        <w:t> </w:t>
      </w:r>
      <w:r>
        <w:rPr>
          <w:rFonts w:ascii="Arial-BoldItalicMT"/>
          <w:b/>
          <w:i/>
          <w:sz w:val="20"/>
        </w:rPr>
        <w:t>indicia</w:t>
      </w:r>
      <w:r>
        <w:rPr>
          <w:rFonts w:ascii="Arial-BoldItalicMT"/>
          <w:b/>
          <w:i/>
          <w:spacing w:val="-5"/>
          <w:sz w:val="20"/>
        </w:rPr>
        <w:t> </w:t>
      </w:r>
      <w:r>
        <w:rPr>
          <w:sz w:val="20"/>
        </w:rPr>
        <w:t>means</w:t>
      </w:r>
      <w:r>
        <w:rPr>
          <w:spacing w:val="-6"/>
          <w:sz w:val="20"/>
        </w:rPr>
        <w:t> </w:t>
      </w:r>
      <w:r>
        <w:rPr>
          <w:sz w:val="20"/>
        </w:rPr>
        <w:t>any</w:t>
      </w:r>
      <w:r>
        <w:rPr>
          <w:spacing w:val="-5"/>
          <w:sz w:val="20"/>
        </w:rPr>
        <w:t> </w:t>
      </w:r>
      <w:r>
        <w:rPr>
          <w:sz w:val="20"/>
        </w:rPr>
        <w:t>of</w:t>
      </w:r>
      <w:r>
        <w:rPr>
          <w:spacing w:val="-6"/>
          <w:sz w:val="20"/>
        </w:rPr>
        <w:t> </w:t>
      </w:r>
      <w:r>
        <w:rPr>
          <w:sz w:val="20"/>
        </w:rPr>
        <w:t>the</w:t>
      </w:r>
      <w:r>
        <w:rPr>
          <w:spacing w:val="-6"/>
          <w:sz w:val="20"/>
        </w:rPr>
        <w:t> </w:t>
      </w:r>
      <w:r>
        <w:rPr>
          <w:sz w:val="20"/>
        </w:rPr>
        <w:t>following:</w:t>
      </w:r>
    </w:p>
    <w:p>
      <w:pPr>
        <w:pStyle w:val="ListParagraph"/>
        <w:numPr>
          <w:ilvl w:val="0"/>
          <w:numId w:val="4"/>
        </w:numPr>
        <w:tabs>
          <w:tab w:pos="2782" w:val="left" w:leader="none"/>
        </w:tabs>
        <w:spacing w:line="230" w:lineRule="exact" w:before="0" w:after="0"/>
        <w:ind w:left="2781" w:right="0" w:hanging="361"/>
        <w:jc w:val="left"/>
        <w:rPr>
          <w:sz w:val="20"/>
        </w:rPr>
      </w:pPr>
      <w:r>
        <w:rPr>
          <w:sz w:val="20"/>
        </w:rPr>
        <w:t>any of the following</w:t>
      </w:r>
      <w:r>
        <w:rPr>
          <w:spacing w:val="-5"/>
          <w:sz w:val="20"/>
        </w:rPr>
        <w:t> </w:t>
      </w:r>
      <w:r>
        <w:rPr>
          <w:sz w:val="20"/>
        </w:rPr>
        <w:t>phrases:</w:t>
      </w:r>
    </w:p>
    <w:p>
      <w:pPr>
        <w:pStyle w:val="ListParagraph"/>
        <w:numPr>
          <w:ilvl w:val="1"/>
          <w:numId w:val="4"/>
        </w:numPr>
        <w:tabs>
          <w:tab w:pos="3501" w:val="left" w:leader="none"/>
          <w:tab w:pos="3502" w:val="left" w:leader="none"/>
        </w:tabs>
        <w:spacing w:line="240" w:lineRule="auto" w:before="0" w:after="0"/>
        <w:ind w:left="3501" w:right="0" w:hanging="721"/>
        <w:jc w:val="left"/>
        <w:rPr>
          <w:sz w:val="20"/>
        </w:rPr>
      </w:pPr>
      <w:r>
        <w:rPr>
          <w:sz w:val="20"/>
        </w:rPr>
        <w:t>“Melbourne 2006 Commonwealth</w:t>
      </w:r>
      <w:r>
        <w:rPr>
          <w:spacing w:val="-4"/>
          <w:sz w:val="20"/>
        </w:rPr>
        <w:t> </w:t>
      </w:r>
      <w:r>
        <w:rPr>
          <w:sz w:val="20"/>
        </w:rPr>
        <w:t>Games”;</w:t>
      </w:r>
    </w:p>
    <w:p>
      <w:pPr>
        <w:pStyle w:val="ListParagraph"/>
        <w:numPr>
          <w:ilvl w:val="1"/>
          <w:numId w:val="4"/>
        </w:numPr>
        <w:tabs>
          <w:tab w:pos="3501" w:val="left" w:leader="none"/>
          <w:tab w:pos="3502" w:val="left" w:leader="none"/>
        </w:tabs>
        <w:spacing w:line="230" w:lineRule="exact" w:before="1" w:after="0"/>
        <w:ind w:left="3501" w:right="0" w:hanging="721"/>
        <w:jc w:val="left"/>
        <w:rPr>
          <w:sz w:val="20"/>
        </w:rPr>
      </w:pPr>
      <w:r>
        <w:rPr>
          <w:sz w:val="20"/>
        </w:rPr>
        <w:t>“Melbourne Commonwealth</w:t>
      </w:r>
      <w:r>
        <w:rPr>
          <w:spacing w:val="-3"/>
          <w:sz w:val="20"/>
        </w:rPr>
        <w:t> </w:t>
      </w:r>
      <w:r>
        <w:rPr>
          <w:sz w:val="20"/>
        </w:rPr>
        <w:t>Games”;</w:t>
      </w:r>
    </w:p>
    <w:p>
      <w:pPr>
        <w:pStyle w:val="ListParagraph"/>
        <w:numPr>
          <w:ilvl w:val="1"/>
          <w:numId w:val="4"/>
        </w:numPr>
        <w:tabs>
          <w:tab w:pos="3501" w:val="left" w:leader="none"/>
          <w:tab w:pos="3502" w:val="left" w:leader="none"/>
        </w:tabs>
        <w:spacing w:line="230" w:lineRule="exact" w:before="0" w:after="0"/>
        <w:ind w:left="3501" w:right="0" w:hanging="721"/>
        <w:jc w:val="left"/>
        <w:rPr>
          <w:sz w:val="20"/>
        </w:rPr>
      </w:pPr>
      <w:r>
        <w:rPr>
          <w:sz w:val="20"/>
        </w:rPr>
        <w:t>“Melbourne</w:t>
      </w:r>
      <w:r>
        <w:rPr>
          <w:spacing w:val="-2"/>
          <w:sz w:val="20"/>
        </w:rPr>
        <w:t> </w:t>
      </w:r>
      <w:r>
        <w:rPr>
          <w:sz w:val="20"/>
        </w:rPr>
        <w:t>Games”;</w:t>
      </w:r>
    </w:p>
    <w:p>
      <w:pPr>
        <w:pStyle w:val="ListParagraph"/>
        <w:numPr>
          <w:ilvl w:val="1"/>
          <w:numId w:val="4"/>
        </w:numPr>
        <w:tabs>
          <w:tab w:pos="3502" w:val="left" w:leader="none"/>
          <w:tab w:pos="3503" w:val="left" w:leader="none"/>
        </w:tabs>
        <w:spacing w:line="240" w:lineRule="auto" w:before="0" w:after="0"/>
        <w:ind w:left="3502" w:right="0" w:hanging="722"/>
        <w:jc w:val="left"/>
        <w:rPr>
          <w:sz w:val="20"/>
        </w:rPr>
      </w:pPr>
      <w:r>
        <w:rPr>
          <w:sz w:val="20"/>
        </w:rPr>
        <w:t>“Melbourne 2006</w:t>
      </w:r>
      <w:r>
        <w:rPr>
          <w:spacing w:val="-3"/>
          <w:sz w:val="20"/>
        </w:rPr>
        <w:t> </w:t>
      </w:r>
      <w:r>
        <w:rPr>
          <w:sz w:val="20"/>
        </w:rPr>
        <w:t>Games”;</w:t>
      </w:r>
    </w:p>
    <w:p>
      <w:pPr>
        <w:pStyle w:val="ListParagraph"/>
        <w:numPr>
          <w:ilvl w:val="1"/>
          <w:numId w:val="4"/>
        </w:numPr>
        <w:tabs>
          <w:tab w:pos="3501" w:val="left" w:leader="none"/>
          <w:tab w:pos="3502" w:val="left" w:leader="none"/>
        </w:tabs>
        <w:spacing w:line="230" w:lineRule="exact" w:before="0" w:after="0"/>
        <w:ind w:left="3501" w:right="0" w:hanging="721"/>
        <w:jc w:val="left"/>
        <w:rPr>
          <w:sz w:val="20"/>
        </w:rPr>
      </w:pPr>
      <w:r>
        <w:rPr>
          <w:sz w:val="20"/>
        </w:rPr>
        <w:t>“Commonwealth</w:t>
      </w:r>
      <w:r>
        <w:rPr>
          <w:spacing w:val="-2"/>
          <w:sz w:val="20"/>
        </w:rPr>
        <w:t> </w:t>
      </w:r>
      <w:r>
        <w:rPr>
          <w:sz w:val="20"/>
        </w:rPr>
        <w:t>Games”;</w:t>
      </w:r>
    </w:p>
    <w:p>
      <w:pPr>
        <w:pStyle w:val="ListParagraph"/>
        <w:numPr>
          <w:ilvl w:val="1"/>
          <w:numId w:val="4"/>
        </w:numPr>
        <w:tabs>
          <w:tab w:pos="3502" w:val="left" w:leader="none"/>
          <w:tab w:pos="3503" w:val="left" w:leader="none"/>
        </w:tabs>
        <w:spacing w:line="230" w:lineRule="exact" w:before="0" w:after="0"/>
        <w:ind w:left="3502" w:right="0" w:hanging="722"/>
        <w:jc w:val="left"/>
        <w:rPr>
          <w:sz w:val="20"/>
        </w:rPr>
      </w:pPr>
      <w:r>
        <w:rPr>
          <w:sz w:val="20"/>
        </w:rPr>
        <w:t>“Australian Commonwealth</w:t>
      </w:r>
      <w:r>
        <w:rPr>
          <w:spacing w:val="-4"/>
          <w:sz w:val="20"/>
        </w:rPr>
        <w:t> </w:t>
      </w:r>
      <w:r>
        <w:rPr>
          <w:sz w:val="20"/>
        </w:rPr>
        <w:t>Games”;</w:t>
      </w:r>
    </w:p>
    <w:p>
      <w:pPr>
        <w:pStyle w:val="ListParagraph"/>
        <w:numPr>
          <w:ilvl w:val="1"/>
          <w:numId w:val="4"/>
        </w:numPr>
        <w:tabs>
          <w:tab w:pos="3501" w:val="left" w:leader="none"/>
          <w:tab w:pos="3502" w:val="left" w:leader="none"/>
        </w:tabs>
        <w:spacing w:line="240" w:lineRule="auto" w:before="1" w:after="0"/>
        <w:ind w:left="3501" w:right="0" w:hanging="721"/>
        <w:jc w:val="left"/>
        <w:rPr>
          <w:sz w:val="20"/>
        </w:rPr>
      </w:pPr>
      <w:r>
        <w:rPr>
          <w:sz w:val="20"/>
        </w:rPr>
        <w:t>“Friendly</w:t>
      </w:r>
      <w:r>
        <w:rPr>
          <w:spacing w:val="-2"/>
          <w:sz w:val="20"/>
        </w:rPr>
        <w:t> </w:t>
      </w:r>
      <w:r>
        <w:rPr>
          <w:sz w:val="20"/>
        </w:rPr>
        <w:t>Games”;</w:t>
      </w:r>
    </w:p>
    <w:p>
      <w:pPr>
        <w:pStyle w:val="ListParagraph"/>
        <w:numPr>
          <w:ilvl w:val="1"/>
          <w:numId w:val="4"/>
        </w:numPr>
        <w:tabs>
          <w:tab w:pos="3502" w:val="left" w:leader="none"/>
          <w:tab w:pos="3503" w:val="left" w:leader="none"/>
        </w:tabs>
        <w:spacing w:line="230" w:lineRule="exact" w:before="0" w:after="0"/>
        <w:ind w:left="3502" w:right="0" w:hanging="722"/>
        <w:jc w:val="left"/>
        <w:rPr>
          <w:sz w:val="20"/>
        </w:rPr>
      </w:pPr>
      <w:r>
        <w:rPr>
          <w:sz w:val="20"/>
        </w:rPr>
        <w:t>“Queen’s Baton</w:t>
      </w:r>
      <w:r>
        <w:rPr>
          <w:spacing w:val="-3"/>
          <w:sz w:val="20"/>
        </w:rPr>
        <w:t> </w:t>
      </w:r>
      <w:r>
        <w:rPr>
          <w:sz w:val="20"/>
        </w:rPr>
        <w:t>Relay”;</w:t>
      </w:r>
    </w:p>
    <w:p>
      <w:pPr>
        <w:pStyle w:val="ListParagraph"/>
        <w:numPr>
          <w:ilvl w:val="1"/>
          <w:numId w:val="4"/>
        </w:numPr>
        <w:tabs>
          <w:tab w:pos="3501" w:val="left" w:leader="none"/>
          <w:tab w:pos="3502" w:val="left" w:leader="none"/>
        </w:tabs>
        <w:spacing w:line="230" w:lineRule="exact" w:before="0" w:after="0"/>
        <w:ind w:left="3501" w:right="0" w:hanging="721"/>
        <w:jc w:val="left"/>
        <w:rPr>
          <w:sz w:val="20"/>
        </w:rPr>
      </w:pPr>
      <w:r>
        <w:rPr>
          <w:sz w:val="20"/>
        </w:rPr>
        <w:t>“Commonwealth Games Cultural</w:t>
      </w:r>
      <w:r>
        <w:rPr>
          <w:spacing w:val="-3"/>
          <w:sz w:val="20"/>
        </w:rPr>
        <w:t> </w:t>
      </w:r>
      <w:r>
        <w:rPr>
          <w:sz w:val="20"/>
        </w:rPr>
        <w:t>Program”;</w:t>
      </w:r>
    </w:p>
    <w:p>
      <w:pPr>
        <w:pStyle w:val="ListParagraph"/>
        <w:numPr>
          <w:ilvl w:val="1"/>
          <w:numId w:val="4"/>
        </w:numPr>
        <w:tabs>
          <w:tab w:pos="3502" w:val="left" w:leader="none"/>
          <w:tab w:pos="3503" w:val="left" w:leader="none"/>
        </w:tabs>
        <w:spacing w:line="240" w:lineRule="auto" w:before="1" w:after="0"/>
        <w:ind w:left="3502" w:right="0" w:hanging="722"/>
        <w:jc w:val="left"/>
        <w:rPr>
          <w:sz w:val="20"/>
        </w:rPr>
      </w:pPr>
      <w:r>
        <w:rPr>
          <w:sz w:val="20"/>
        </w:rPr>
        <w:t>“Melbourne 2006 Cultural</w:t>
      </w:r>
      <w:r>
        <w:rPr>
          <w:spacing w:val="-5"/>
          <w:sz w:val="20"/>
        </w:rPr>
        <w:t> </w:t>
      </w:r>
      <w:r>
        <w:rPr>
          <w:sz w:val="20"/>
        </w:rPr>
        <w:t>Program”;</w:t>
      </w:r>
    </w:p>
    <w:p>
      <w:pPr>
        <w:spacing w:after="0" w:line="240" w:lineRule="auto"/>
        <w:jc w:val="left"/>
        <w:rPr>
          <w:sz w:val="20"/>
        </w:rPr>
        <w:sectPr>
          <w:footerReference w:type="default" r:id="rId7"/>
          <w:pgSz w:w="11900" w:h="16840"/>
          <w:pgMar w:footer="737" w:header="0" w:top="1360" w:bottom="920" w:left="0" w:right="0"/>
          <w:pgNumType w:start="2"/>
        </w:sectPr>
      </w:pPr>
    </w:p>
    <w:p>
      <w:pPr>
        <w:pStyle w:val="ListParagraph"/>
        <w:numPr>
          <w:ilvl w:val="1"/>
          <w:numId w:val="4"/>
        </w:numPr>
        <w:tabs>
          <w:tab w:pos="3502" w:val="left" w:leader="none"/>
          <w:tab w:pos="3503" w:val="left" w:leader="none"/>
        </w:tabs>
        <w:spacing w:line="240" w:lineRule="auto" w:before="77" w:after="0"/>
        <w:ind w:left="3502" w:right="0" w:hanging="722"/>
        <w:jc w:val="left"/>
        <w:rPr>
          <w:sz w:val="20"/>
        </w:rPr>
      </w:pPr>
      <w:r>
        <w:rPr>
          <w:sz w:val="20"/>
        </w:rPr>
        <w:t>“M06 Cultural</w:t>
      </w:r>
      <w:r>
        <w:rPr>
          <w:spacing w:val="-5"/>
          <w:sz w:val="20"/>
        </w:rPr>
        <w:t> </w:t>
      </w:r>
      <w:r>
        <w:rPr>
          <w:sz w:val="20"/>
        </w:rPr>
        <w:t>Program”;</w:t>
      </w:r>
    </w:p>
    <w:p>
      <w:pPr>
        <w:pStyle w:val="BodyText"/>
        <w:spacing w:before="11"/>
        <w:rPr>
          <w:sz w:val="19"/>
        </w:rPr>
      </w:pPr>
    </w:p>
    <w:p>
      <w:pPr>
        <w:pStyle w:val="BodyText"/>
        <w:ind w:left="2421" w:right="2455"/>
      </w:pPr>
      <w:r>
        <w:rPr/>
        <w:t>(whether the reference to “2006” in subparagraphs (i), (iv) and (x) is in words or numerals);</w:t>
      </w:r>
    </w:p>
    <w:p>
      <w:pPr>
        <w:pStyle w:val="BodyText"/>
      </w:pPr>
    </w:p>
    <w:p>
      <w:pPr>
        <w:pStyle w:val="ListParagraph"/>
        <w:numPr>
          <w:ilvl w:val="0"/>
          <w:numId w:val="4"/>
        </w:numPr>
        <w:tabs>
          <w:tab w:pos="2782" w:val="left" w:leader="none"/>
        </w:tabs>
        <w:spacing w:line="240" w:lineRule="auto" w:before="0" w:after="0"/>
        <w:ind w:left="2781" w:right="0" w:hanging="361"/>
        <w:jc w:val="left"/>
        <w:rPr>
          <w:sz w:val="20"/>
        </w:rPr>
      </w:pPr>
      <w:r>
        <w:rPr>
          <w:sz w:val="20"/>
        </w:rPr>
        <w:t>either “M06” or</w:t>
      </w:r>
      <w:r>
        <w:rPr>
          <w:spacing w:val="-4"/>
          <w:sz w:val="20"/>
        </w:rPr>
        <w:t> </w:t>
      </w:r>
      <w:r>
        <w:rPr>
          <w:sz w:val="20"/>
        </w:rPr>
        <w:t>“M2006”;</w:t>
      </w:r>
    </w:p>
    <w:p>
      <w:pPr>
        <w:pStyle w:val="ListParagraph"/>
        <w:numPr>
          <w:ilvl w:val="0"/>
          <w:numId w:val="4"/>
        </w:numPr>
        <w:tabs>
          <w:tab w:pos="2783" w:val="left" w:leader="none"/>
        </w:tabs>
        <w:spacing w:line="240" w:lineRule="auto" w:before="1" w:after="0"/>
        <w:ind w:left="2781" w:right="1963" w:hanging="360"/>
        <w:jc w:val="left"/>
        <w:rPr>
          <w:sz w:val="20"/>
        </w:rPr>
      </w:pPr>
      <w:r>
        <w:rPr>
          <w:sz w:val="20"/>
        </w:rPr>
        <w:t>any</w:t>
      </w:r>
      <w:r>
        <w:rPr>
          <w:spacing w:val="-4"/>
          <w:sz w:val="20"/>
        </w:rPr>
        <w:t> </w:t>
      </w:r>
      <w:r>
        <w:rPr>
          <w:sz w:val="20"/>
        </w:rPr>
        <w:t>combination</w:t>
      </w:r>
      <w:r>
        <w:rPr>
          <w:spacing w:val="-3"/>
          <w:sz w:val="20"/>
        </w:rPr>
        <w:t> </w:t>
      </w:r>
      <w:r>
        <w:rPr>
          <w:sz w:val="20"/>
        </w:rPr>
        <w:t>of</w:t>
      </w:r>
      <w:r>
        <w:rPr>
          <w:spacing w:val="-4"/>
          <w:sz w:val="20"/>
        </w:rPr>
        <w:t> </w:t>
      </w:r>
      <w:r>
        <w:rPr>
          <w:sz w:val="20"/>
        </w:rPr>
        <w:t>an</w:t>
      </w:r>
      <w:r>
        <w:rPr>
          <w:spacing w:val="-3"/>
          <w:sz w:val="20"/>
        </w:rPr>
        <w:t> </w:t>
      </w:r>
      <w:r>
        <w:rPr>
          <w:sz w:val="20"/>
        </w:rPr>
        <w:t>indicium</w:t>
      </w:r>
      <w:r>
        <w:rPr>
          <w:spacing w:val="-4"/>
          <w:sz w:val="20"/>
        </w:rPr>
        <w:t> </w:t>
      </w:r>
      <w:r>
        <w:rPr>
          <w:sz w:val="20"/>
        </w:rPr>
        <w:t>in</w:t>
      </w:r>
      <w:r>
        <w:rPr>
          <w:spacing w:val="-3"/>
          <w:sz w:val="20"/>
        </w:rPr>
        <w:t> </w:t>
      </w:r>
      <w:r>
        <w:rPr>
          <w:sz w:val="20"/>
        </w:rPr>
        <w:t>an</w:t>
      </w:r>
      <w:r>
        <w:rPr>
          <w:spacing w:val="-4"/>
          <w:sz w:val="20"/>
        </w:rPr>
        <w:t> </w:t>
      </w:r>
      <w:r>
        <w:rPr>
          <w:sz w:val="20"/>
        </w:rPr>
        <w:t>item</w:t>
      </w:r>
      <w:r>
        <w:rPr>
          <w:spacing w:val="-3"/>
          <w:sz w:val="20"/>
        </w:rPr>
        <w:t> </w:t>
      </w:r>
      <w:r>
        <w:rPr>
          <w:sz w:val="20"/>
        </w:rPr>
        <w:t>in</w:t>
      </w:r>
      <w:r>
        <w:rPr>
          <w:spacing w:val="-4"/>
          <w:sz w:val="20"/>
        </w:rPr>
        <w:t> </w:t>
      </w:r>
      <w:r>
        <w:rPr>
          <w:sz w:val="20"/>
        </w:rPr>
        <w:t>List</w:t>
      </w:r>
      <w:r>
        <w:rPr>
          <w:spacing w:val="-3"/>
          <w:sz w:val="20"/>
        </w:rPr>
        <w:t> </w:t>
      </w:r>
      <w:r>
        <w:rPr>
          <w:sz w:val="20"/>
        </w:rPr>
        <w:t>A</w:t>
      </w:r>
      <w:r>
        <w:rPr>
          <w:spacing w:val="-4"/>
          <w:sz w:val="20"/>
        </w:rPr>
        <w:t> </w:t>
      </w:r>
      <w:r>
        <w:rPr>
          <w:sz w:val="20"/>
        </w:rPr>
        <w:t>with</w:t>
      </w:r>
      <w:r>
        <w:rPr>
          <w:spacing w:val="-3"/>
          <w:sz w:val="20"/>
        </w:rPr>
        <w:t> </w:t>
      </w:r>
      <w:r>
        <w:rPr>
          <w:sz w:val="20"/>
        </w:rPr>
        <w:t>an</w:t>
      </w:r>
      <w:r>
        <w:rPr>
          <w:spacing w:val="-4"/>
          <w:sz w:val="20"/>
        </w:rPr>
        <w:t> </w:t>
      </w:r>
      <w:r>
        <w:rPr>
          <w:sz w:val="20"/>
        </w:rPr>
        <w:t>indicium</w:t>
      </w:r>
      <w:r>
        <w:rPr>
          <w:spacing w:val="-3"/>
          <w:sz w:val="20"/>
        </w:rPr>
        <w:t> </w:t>
      </w:r>
      <w:r>
        <w:rPr>
          <w:sz w:val="20"/>
        </w:rPr>
        <w:t>in</w:t>
      </w:r>
      <w:r>
        <w:rPr>
          <w:spacing w:val="-4"/>
          <w:sz w:val="20"/>
        </w:rPr>
        <w:t> </w:t>
      </w:r>
      <w:r>
        <w:rPr>
          <w:sz w:val="20"/>
        </w:rPr>
        <w:t>that</w:t>
      </w:r>
      <w:r>
        <w:rPr>
          <w:spacing w:val="-3"/>
          <w:sz w:val="20"/>
        </w:rPr>
        <w:t> </w:t>
      </w:r>
      <w:r>
        <w:rPr>
          <w:sz w:val="20"/>
        </w:rPr>
        <w:t>item</w:t>
      </w:r>
      <w:r>
        <w:rPr>
          <w:spacing w:val="-4"/>
          <w:sz w:val="20"/>
        </w:rPr>
        <w:t> </w:t>
      </w:r>
      <w:r>
        <w:rPr>
          <w:sz w:val="20"/>
        </w:rPr>
        <w:t>in List</w:t>
      </w:r>
      <w:r>
        <w:rPr>
          <w:spacing w:val="-2"/>
          <w:sz w:val="20"/>
        </w:rPr>
        <w:t> </w:t>
      </w:r>
      <w:r>
        <w:rPr>
          <w:sz w:val="20"/>
        </w:rPr>
        <w:t>B:</w:t>
      </w:r>
    </w:p>
    <w:p>
      <w:pPr>
        <w:pStyle w:val="BodyText"/>
        <w:spacing w:before="2"/>
      </w:pPr>
    </w:p>
    <w:tbl>
      <w:tblPr>
        <w:tblW w:w="0" w:type="auto"/>
        <w:jc w:val="left"/>
        <w:tblInd w:w="2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3184"/>
        <w:gridCol w:w="3224"/>
      </w:tblGrid>
      <w:tr>
        <w:trPr>
          <w:trHeight w:val="230" w:hRule="atLeast"/>
        </w:trPr>
        <w:tc>
          <w:tcPr>
            <w:tcW w:w="7086" w:type="dxa"/>
            <w:gridSpan w:val="3"/>
            <w:tcBorders>
              <w:top w:val="single" w:sz="12" w:space="0" w:color="000000"/>
              <w:bottom w:val="single" w:sz="6" w:space="0" w:color="000000"/>
            </w:tcBorders>
          </w:tcPr>
          <w:p>
            <w:pPr>
              <w:pStyle w:val="TableParagraph"/>
              <w:spacing w:line="210" w:lineRule="exact"/>
              <w:ind w:left="115"/>
              <w:rPr>
                <w:b/>
                <w:sz w:val="20"/>
              </w:rPr>
            </w:pPr>
            <w:r>
              <w:rPr>
                <w:b/>
                <w:sz w:val="20"/>
              </w:rPr>
              <w:t>Melbourne 2006 Commonwealth Games indicia</w:t>
            </w:r>
          </w:p>
        </w:tc>
      </w:tr>
      <w:tr>
        <w:trPr>
          <w:trHeight w:val="230" w:hRule="atLeast"/>
        </w:trPr>
        <w:tc>
          <w:tcPr>
            <w:tcW w:w="678" w:type="dxa"/>
            <w:tcBorders>
              <w:top w:val="single" w:sz="6" w:space="0" w:color="000000"/>
              <w:bottom w:val="single" w:sz="12" w:space="0" w:color="000000"/>
            </w:tcBorders>
          </w:tcPr>
          <w:p>
            <w:pPr>
              <w:pStyle w:val="TableParagraph"/>
              <w:spacing w:line="210" w:lineRule="exact"/>
              <w:ind w:left="115"/>
              <w:rPr>
                <w:b/>
                <w:sz w:val="20"/>
              </w:rPr>
            </w:pPr>
            <w:r>
              <w:rPr>
                <w:b/>
                <w:sz w:val="20"/>
              </w:rPr>
              <w:t>Item</w:t>
            </w:r>
          </w:p>
        </w:tc>
        <w:tc>
          <w:tcPr>
            <w:tcW w:w="3184" w:type="dxa"/>
            <w:tcBorders>
              <w:top w:val="single" w:sz="6" w:space="0" w:color="000000"/>
              <w:bottom w:val="single" w:sz="12" w:space="0" w:color="000000"/>
            </w:tcBorders>
          </w:tcPr>
          <w:p>
            <w:pPr>
              <w:pStyle w:val="TableParagraph"/>
              <w:spacing w:line="210" w:lineRule="exact"/>
              <w:ind w:left="151"/>
              <w:rPr>
                <w:b/>
                <w:sz w:val="20"/>
              </w:rPr>
            </w:pPr>
            <w:r>
              <w:rPr>
                <w:b/>
                <w:sz w:val="20"/>
              </w:rPr>
              <w:t>List A indicia</w:t>
            </w:r>
          </w:p>
        </w:tc>
        <w:tc>
          <w:tcPr>
            <w:tcW w:w="3224" w:type="dxa"/>
            <w:tcBorders>
              <w:top w:val="single" w:sz="6" w:space="0" w:color="000000"/>
              <w:bottom w:val="single" w:sz="12" w:space="0" w:color="000000"/>
            </w:tcBorders>
          </w:tcPr>
          <w:p>
            <w:pPr>
              <w:pStyle w:val="TableParagraph"/>
              <w:spacing w:line="210" w:lineRule="exact"/>
              <w:rPr>
                <w:b/>
                <w:sz w:val="20"/>
              </w:rPr>
            </w:pPr>
            <w:r>
              <w:rPr>
                <w:b/>
                <w:sz w:val="20"/>
              </w:rPr>
              <w:t>List B indicia</w:t>
            </w:r>
          </w:p>
        </w:tc>
      </w:tr>
      <w:tr>
        <w:trPr>
          <w:trHeight w:val="1149" w:hRule="atLeast"/>
        </w:trPr>
        <w:tc>
          <w:tcPr>
            <w:tcW w:w="678" w:type="dxa"/>
            <w:tcBorders>
              <w:top w:val="single" w:sz="12" w:space="0" w:color="000000"/>
              <w:bottom w:val="single" w:sz="2" w:space="0" w:color="000000"/>
            </w:tcBorders>
          </w:tcPr>
          <w:p>
            <w:pPr>
              <w:pStyle w:val="TableParagraph"/>
              <w:spacing w:line="227" w:lineRule="exact"/>
              <w:ind w:left="115"/>
              <w:rPr>
                <w:sz w:val="20"/>
              </w:rPr>
            </w:pPr>
            <w:r>
              <w:rPr>
                <w:w w:val="100"/>
                <w:sz w:val="20"/>
              </w:rPr>
              <w:t>1</w:t>
            </w:r>
          </w:p>
        </w:tc>
        <w:tc>
          <w:tcPr>
            <w:tcW w:w="3184" w:type="dxa"/>
            <w:tcBorders>
              <w:top w:val="single" w:sz="12" w:space="0" w:color="000000"/>
              <w:bottom w:val="single" w:sz="2" w:space="0" w:color="000000"/>
            </w:tcBorders>
          </w:tcPr>
          <w:p>
            <w:pPr>
              <w:pStyle w:val="TableParagraph"/>
              <w:ind w:left="151" w:right="935" w:hanging="1"/>
              <w:rPr>
                <w:sz w:val="20"/>
              </w:rPr>
            </w:pPr>
            <w:r>
              <w:rPr>
                <w:sz w:val="20"/>
              </w:rPr>
              <w:t>“Two thousand and six” “2006”</w:t>
            </w:r>
          </w:p>
          <w:p>
            <w:pPr>
              <w:pStyle w:val="TableParagraph"/>
              <w:ind w:left="151" w:right="2279"/>
              <w:rPr>
                <w:sz w:val="20"/>
              </w:rPr>
            </w:pPr>
            <w:r>
              <w:rPr>
                <w:sz w:val="20"/>
              </w:rPr>
              <w:t>“18th” “XVIIIth”</w:t>
            </w:r>
          </w:p>
          <w:p>
            <w:pPr>
              <w:pStyle w:val="TableParagraph"/>
              <w:spacing w:line="213" w:lineRule="exact"/>
              <w:ind w:left="151"/>
              <w:rPr>
                <w:sz w:val="20"/>
              </w:rPr>
            </w:pPr>
            <w:r>
              <w:rPr>
                <w:sz w:val="20"/>
              </w:rPr>
              <w:t>“Eighteenth”</w:t>
            </w:r>
          </w:p>
        </w:tc>
        <w:tc>
          <w:tcPr>
            <w:tcW w:w="3224" w:type="dxa"/>
            <w:tcBorders>
              <w:top w:val="single" w:sz="12" w:space="0" w:color="000000"/>
              <w:bottom w:val="single" w:sz="2" w:space="0" w:color="000000"/>
            </w:tcBorders>
          </w:tcPr>
          <w:p>
            <w:pPr>
              <w:pStyle w:val="TableParagraph"/>
              <w:ind w:right="828"/>
              <w:rPr>
                <w:sz w:val="20"/>
              </w:rPr>
            </w:pPr>
            <w:r>
              <w:rPr>
                <w:sz w:val="20"/>
              </w:rPr>
              <w:t>“Commonwealth Games” “Games”</w:t>
            </w:r>
          </w:p>
        </w:tc>
      </w:tr>
      <w:tr>
        <w:trPr>
          <w:trHeight w:val="689" w:hRule="atLeast"/>
        </w:trPr>
        <w:tc>
          <w:tcPr>
            <w:tcW w:w="678" w:type="dxa"/>
            <w:tcBorders>
              <w:top w:val="single" w:sz="2" w:space="0" w:color="000000"/>
              <w:bottom w:val="single" w:sz="2" w:space="0" w:color="000000"/>
            </w:tcBorders>
          </w:tcPr>
          <w:p>
            <w:pPr>
              <w:pStyle w:val="TableParagraph"/>
              <w:spacing w:line="227" w:lineRule="exact"/>
              <w:ind w:left="115"/>
              <w:rPr>
                <w:sz w:val="20"/>
              </w:rPr>
            </w:pPr>
            <w:r>
              <w:rPr>
                <w:w w:val="100"/>
                <w:sz w:val="20"/>
              </w:rPr>
              <w:t>2</w:t>
            </w:r>
          </w:p>
        </w:tc>
        <w:tc>
          <w:tcPr>
            <w:tcW w:w="3184" w:type="dxa"/>
            <w:tcBorders>
              <w:top w:val="single" w:sz="2" w:space="0" w:color="000000"/>
              <w:bottom w:val="single" w:sz="2" w:space="0" w:color="000000"/>
            </w:tcBorders>
          </w:tcPr>
          <w:p>
            <w:pPr>
              <w:pStyle w:val="TableParagraph"/>
              <w:ind w:left="151" w:right="134"/>
              <w:rPr>
                <w:sz w:val="20"/>
              </w:rPr>
            </w:pPr>
            <w:r>
              <w:rPr>
                <w:sz w:val="20"/>
              </w:rPr>
              <w:t>“Commonwealth Games” “Commonwealth Games athlete”</w:t>
            </w:r>
          </w:p>
        </w:tc>
        <w:tc>
          <w:tcPr>
            <w:tcW w:w="3224" w:type="dxa"/>
            <w:tcBorders>
              <w:top w:val="single" w:sz="2" w:space="0" w:color="000000"/>
              <w:bottom w:val="single" w:sz="2" w:space="0" w:color="000000"/>
            </w:tcBorders>
          </w:tcPr>
          <w:p>
            <w:pPr>
              <w:pStyle w:val="TableParagraph"/>
              <w:spacing w:line="227" w:lineRule="exact"/>
              <w:rPr>
                <w:sz w:val="20"/>
              </w:rPr>
            </w:pPr>
            <w:r>
              <w:rPr>
                <w:sz w:val="20"/>
              </w:rPr>
              <w:t>“Gold”</w:t>
            </w:r>
          </w:p>
          <w:p>
            <w:pPr>
              <w:pStyle w:val="TableParagraph"/>
              <w:spacing w:line="230" w:lineRule="exact" w:before="4"/>
              <w:ind w:right="2284"/>
              <w:rPr>
                <w:sz w:val="20"/>
              </w:rPr>
            </w:pPr>
            <w:r>
              <w:rPr>
                <w:sz w:val="20"/>
              </w:rPr>
              <w:t>“Silver” “Bronze”</w:t>
            </w:r>
          </w:p>
        </w:tc>
      </w:tr>
      <w:tr>
        <w:trPr>
          <w:trHeight w:val="1148" w:hRule="atLeast"/>
        </w:trPr>
        <w:tc>
          <w:tcPr>
            <w:tcW w:w="678" w:type="dxa"/>
            <w:tcBorders>
              <w:top w:val="single" w:sz="2" w:space="0" w:color="000000"/>
              <w:bottom w:val="single" w:sz="12" w:space="0" w:color="000000"/>
            </w:tcBorders>
          </w:tcPr>
          <w:p>
            <w:pPr>
              <w:pStyle w:val="TableParagraph"/>
              <w:spacing w:line="226" w:lineRule="exact"/>
              <w:ind w:left="115"/>
              <w:rPr>
                <w:sz w:val="20"/>
              </w:rPr>
            </w:pPr>
            <w:r>
              <w:rPr>
                <w:w w:val="100"/>
                <w:sz w:val="20"/>
              </w:rPr>
              <w:t>3</w:t>
            </w:r>
          </w:p>
        </w:tc>
        <w:tc>
          <w:tcPr>
            <w:tcW w:w="3184" w:type="dxa"/>
            <w:tcBorders>
              <w:top w:val="single" w:sz="2" w:space="0" w:color="000000"/>
              <w:bottom w:val="single" w:sz="12" w:space="0" w:color="000000"/>
            </w:tcBorders>
          </w:tcPr>
          <w:p>
            <w:pPr>
              <w:pStyle w:val="TableParagraph"/>
              <w:ind w:left="151" w:right="613" w:hanging="1"/>
              <w:rPr>
                <w:sz w:val="20"/>
              </w:rPr>
            </w:pPr>
            <w:r>
              <w:rPr>
                <w:sz w:val="20"/>
              </w:rPr>
              <w:t>“Australian Commonwealth Games team”</w:t>
            </w:r>
          </w:p>
        </w:tc>
        <w:tc>
          <w:tcPr>
            <w:tcW w:w="3224" w:type="dxa"/>
            <w:tcBorders>
              <w:top w:val="single" w:sz="2" w:space="0" w:color="000000"/>
              <w:bottom w:val="single" w:sz="12" w:space="0" w:color="000000"/>
            </w:tcBorders>
          </w:tcPr>
          <w:p>
            <w:pPr>
              <w:pStyle w:val="TableParagraph"/>
              <w:ind w:right="1472"/>
              <w:rPr>
                <w:sz w:val="20"/>
              </w:rPr>
            </w:pPr>
            <w:r>
              <w:rPr>
                <w:sz w:val="20"/>
              </w:rPr>
              <w:t>“Melbourne” “Melbourne 2006”</w:t>
            </w:r>
          </w:p>
          <w:p>
            <w:pPr>
              <w:pStyle w:val="TableParagraph"/>
              <w:ind w:right="404"/>
              <w:rPr>
                <w:sz w:val="20"/>
              </w:rPr>
            </w:pPr>
            <w:r>
              <w:rPr>
                <w:sz w:val="20"/>
              </w:rPr>
              <w:t>“Melbourne two thousand and six”</w:t>
            </w:r>
          </w:p>
          <w:p>
            <w:pPr>
              <w:pStyle w:val="TableParagraph"/>
              <w:spacing w:line="212" w:lineRule="exact"/>
              <w:rPr>
                <w:sz w:val="20"/>
              </w:rPr>
            </w:pPr>
            <w:r>
              <w:rPr>
                <w:sz w:val="20"/>
              </w:rPr>
              <w:t>“M2006”</w:t>
            </w:r>
          </w:p>
        </w:tc>
      </w:tr>
    </w:tbl>
    <w:p>
      <w:pPr>
        <w:pStyle w:val="BodyText"/>
        <w:rPr>
          <w:sz w:val="22"/>
        </w:rPr>
      </w:pPr>
    </w:p>
    <w:p>
      <w:pPr>
        <w:pStyle w:val="BodyText"/>
        <w:rPr>
          <w:sz w:val="22"/>
        </w:rPr>
      </w:pPr>
    </w:p>
    <w:p>
      <w:pPr>
        <w:pStyle w:val="Heading2"/>
        <w:spacing w:before="183"/>
        <w:ind w:right="2808"/>
      </w:pPr>
      <w:r>
        <w:rPr/>
        <w:t>Application of Melbourne 2006 Commonwealth Games indicia and images (part definition);</w:t>
      </w:r>
    </w:p>
    <w:p>
      <w:pPr>
        <w:pStyle w:val="BodyText"/>
        <w:spacing w:before="9"/>
        <w:rPr>
          <w:rFonts w:ascii="Arial-BoldItalicMT"/>
          <w:b/>
          <w:i/>
          <w:sz w:val="19"/>
        </w:rPr>
      </w:pPr>
    </w:p>
    <w:p>
      <w:pPr>
        <w:pStyle w:val="BodyText"/>
        <w:ind w:left="2059" w:right="1694" w:firstLine="2"/>
      </w:pPr>
      <w:r>
        <w:rPr/>
        <w:t>Without limiting the generality of the meaning of the expression, Melbourne 2006 Commonwealth Games indicia and / or images are applied to goods when the indicia and/or images:</w:t>
      </w:r>
    </w:p>
    <w:p>
      <w:pPr>
        <w:pStyle w:val="BodyText"/>
        <w:spacing w:before="2"/>
        <w:rPr>
          <w:sz w:val="21"/>
        </w:rPr>
      </w:pPr>
    </w:p>
    <w:p>
      <w:pPr>
        <w:pStyle w:val="ListParagraph"/>
        <w:numPr>
          <w:ilvl w:val="1"/>
          <w:numId w:val="2"/>
        </w:numPr>
        <w:tabs>
          <w:tab w:pos="2779" w:val="left" w:leader="none"/>
          <w:tab w:pos="2780" w:val="left" w:leader="none"/>
        </w:tabs>
        <w:spacing w:line="240" w:lineRule="auto" w:before="1" w:after="0"/>
        <w:ind w:left="2779" w:right="0" w:hanging="365"/>
        <w:jc w:val="left"/>
        <w:rPr>
          <w:sz w:val="20"/>
        </w:rPr>
      </w:pPr>
      <w:r>
        <w:rPr>
          <w:sz w:val="20"/>
        </w:rPr>
        <w:t>are woven in, impressed on, worked into, or affixed or annexed to, the goods;</w:t>
      </w:r>
      <w:r>
        <w:rPr>
          <w:spacing w:val="-28"/>
          <w:sz w:val="20"/>
        </w:rPr>
        <w:t> </w:t>
      </w:r>
      <w:r>
        <w:rPr>
          <w:sz w:val="20"/>
        </w:rPr>
        <w:t>or</w:t>
      </w:r>
    </w:p>
    <w:p>
      <w:pPr>
        <w:pStyle w:val="ListParagraph"/>
        <w:numPr>
          <w:ilvl w:val="1"/>
          <w:numId w:val="2"/>
        </w:numPr>
        <w:tabs>
          <w:tab w:pos="2779" w:val="left" w:leader="none"/>
          <w:tab w:pos="2780" w:val="left" w:leader="none"/>
        </w:tabs>
        <w:spacing w:line="240" w:lineRule="auto" w:before="13" w:after="0"/>
        <w:ind w:left="2779" w:right="2273" w:hanging="364"/>
        <w:jc w:val="left"/>
        <w:rPr>
          <w:sz w:val="20"/>
        </w:rPr>
      </w:pPr>
      <w:r>
        <w:rPr>
          <w:sz w:val="20"/>
        </w:rPr>
        <w:t>are</w:t>
      </w:r>
      <w:r>
        <w:rPr>
          <w:spacing w:val="-4"/>
          <w:sz w:val="20"/>
        </w:rPr>
        <w:t> </w:t>
      </w:r>
      <w:r>
        <w:rPr>
          <w:sz w:val="20"/>
        </w:rPr>
        <w:t>applied</w:t>
      </w:r>
      <w:r>
        <w:rPr>
          <w:spacing w:val="-4"/>
          <w:sz w:val="20"/>
        </w:rPr>
        <w:t> </w:t>
      </w:r>
      <w:r>
        <w:rPr>
          <w:sz w:val="20"/>
        </w:rPr>
        <w:t>to</w:t>
      </w:r>
      <w:r>
        <w:rPr>
          <w:spacing w:val="-5"/>
          <w:sz w:val="20"/>
        </w:rPr>
        <w:t> </w:t>
      </w:r>
      <w:r>
        <w:rPr>
          <w:sz w:val="20"/>
        </w:rPr>
        <w:t>any</w:t>
      </w:r>
      <w:r>
        <w:rPr>
          <w:spacing w:val="-4"/>
          <w:sz w:val="20"/>
        </w:rPr>
        <w:t> </w:t>
      </w:r>
      <w:r>
        <w:rPr>
          <w:sz w:val="20"/>
        </w:rPr>
        <w:t>covering,</w:t>
      </w:r>
      <w:r>
        <w:rPr>
          <w:spacing w:val="-4"/>
          <w:sz w:val="20"/>
        </w:rPr>
        <w:t> </w:t>
      </w:r>
      <w:r>
        <w:rPr>
          <w:sz w:val="20"/>
        </w:rPr>
        <w:t>document,</w:t>
      </w:r>
      <w:r>
        <w:rPr>
          <w:spacing w:val="-4"/>
          <w:sz w:val="20"/>
        </w:rPr>
        <w:t> </w:t>
      </w:r>
      <w:r>
        <w:rPr>
          <w:sz w:val="20"/>
        </w:rPr>
        <w:t>label,</w:t>
      </w:r>
      <w:r>
        <w:rPr>
          <w:spacing w:val="-4"/>
          <w:sz w:val="20"/>
        </w:rPr>
        <w:t> </w:t>
      </w:r>
      <w:r>
        <w:rPr>
          <w:sz w:val="20"/>
        </w:rPr>
        <w:t>reel</w:t>
      </w:r>
      <w:r>
        <w:rPr>
          <w:spacing w:val="-4"/>
          <w:sz w:val="20"/>
        </w:rPr>
        <w:t> </w:t>
      </w:r>
      <w:r>
        <w:rPr>
          <w:sz w:val="20"/>
        </w:rPr>
        <w:t>or</w:t>
      </w:r>
      <w:r>
        <w:rPr>
          <w:spacing w:val="-3"/>
          <w:sz w:val="20"/>
        </w:rPr>
        <w:t> </w:t>
      </w:r>
      <w:r>
        <w:rPr>
          <w:sz w:val="20"/>
        </w:rPr>
        <w:t>thing</w:t>
      </w:r>
      <w:r>
        <w:rPr>
          <w:spacing w:val="-4"/>
          <w:sz w:val="20"/>
        </w:rPr>
        <w:t> </w:t>
      </w:r>
      <w:r>
        <w:rPr>
          <w:sz w:val="20"/>
        </w:rPr>
        <w:t>in</w:t>
      </w:r>
      <w:r>
        <w:rPr>
          <w:spacing w:val="-4"/>
          <w:sz w:val="20"/>
        </w:rPr>
        <w:t> </w:t>
      </w:r>
      <w:r>
        <w:rPr>
          <w:sz w:val="20"/>
        </w:rPr>
        <w:t>or</w:t>
      </w:r>
      <w:r>
        <w:rPr>
          <w:spacing w:val="-5"/>
          <w:sz w:val="20"/>
        </w:rPr>
        <w:t> </w:t>
      </w:r>
      <w:r>
        <w:rPr>
          <w:sz w:val="20"/>
        </w:rPr>
        <w:t>with</w:t>
      </w:r>
      <w:r>
        <w:rPr>
          <w:spacing w:val="-4"/>
          <w:sz w:val="20"/>
        </w:rPr>
        <w:t> </w:t>
      </w:r>
      <w:r>
        <w:rPr>
          <w:sz w:val="20"/>
        </w:rPr>
        <w:t>which</w:t>
      </w:r>
      <w:r>
        <w:rPr>
          <w:spacing w:val="-4"/>
          <w:sz w:val="20"/>
        </w:rPr>
        <w:t> </w:t>
      </w:r>
      <w:r>
        <w:rPr>
          <w:sz w:val="20"/>
        </w:rPr>
        <w:t>the goods</w:t>
      </w:r>
      <w:r>
        <w:rPr>
          <w:spacing w:val="-4"/>
          <w:sz w:val="20"/>
        </w:rPr>
        <w:t> </w:t>
      </w:r>
      <w:r>
        <w:rPr>
          <w:sz w:val="20"/>
        </w:rPr>
        <w:t>are,</w:t>
      </w:r>
      <w:r>
        <w:rPr>
          <w:spacing w:val="-4"/>
          <w:sz w:val="20"/>
        </w:rPr>
        <w:t> </w:t>
      </w:r>
      <w:r>
        <w:rPr>
          <w:sz w:val="20"/>
        </w:rPr>
        <w:t>or</w:t>
      </w:r>
      <w:r>
        <w:rPr>
          <w:spacing w:val="-4"/>
          <w:sz w:val="20"/>
        </w:rPr>
        <w:t> </w:t>
      </w:r>
      <w:r>
        <w:rPr>
          <w:sz w:val="20"/>
        </w:rPr>
        <w:t>are</w:t>
      </w:r>
      <w:r>
        <w:rPr>
          <w:spacing w:val="-3"/>
          <w:sz w:val="20"/>
        </w:rPr>
        <w:t> </w:t>
      </w:r>
      <w:r>
        <w:rPr>
          <w:sz w:val="20"/>
        </w:rPr>
        <w:t>intended</w:t>
      </w:r>
      <w:r>
        <w:rPr>
          <w:spacing w:val="-5"/>
          <w:sz w:val="20"/>
        </w:rPr>
        <w:t> </w:t>
      </w:r>
      <w:r>
        <w:rPr>
          <w:sz w:val="20"/>
        </w:rPr>
        <w:t>to</w:t>
      </w:r>
      <w:r>
        <w:rPr>
          <w:spacing w:val="-4"/>
          <w:sz w:val="20"/>
        </w:rPr>
        <w:t> </w:t>
      </w:r>
      <w:r>
        <w:rPr>
          <w:sz w:val="20"/>
        </w:rPr>
        <w:t>be,</w:t>
      </w:r>
      <w:r>
        <w:rPr>
          <w:spacing w:val="-3"/>
          <w:sz w:val="20"/>
        </w:rPr>
        <w:t> </w:t>
      </w:r>
      <w:r>
        <w:rPr>
          <w:sz w:val="20"/>
        </w:rPr>
        <w:t>dealt</w:t>
      </w:r>
      <w:r>
        <w:rPr>
          <w:spacing w:val="-4"/>
          <w:sz w:val="20"/>
        </w:rPr>
        <w:t> </w:t>
      </w:r>
      <w:r>
        <w:rPr>
          <w:sz w:val="20"/>
        </w:rPr>
        <w:t>with</w:t>
      </w:r>
      <w:r>
        <w:rPr>
          <w:spacing w:val="-2"/>
          <w:sz w:val="20"/>
        </w:rPr>
        <w:t> </w:t>
      </w:r>
      <w:r>
        <w:rPr>
          <w:sz w:val="20"/>
        </w:rPr>
        <w:t>or</w:t>
      </w:r>
      <w:r>
        <w:rPr>
          <w:spacing w:val="-3"/>
          <w:sz w:val="20"/>
        </w:rPr>
        <w:t> </w:t>
      </w:r>
      <w:r>
        <w:rPr>
          <w:sz w:val="20"/>
        </w:rPr>
        <w:t>provided</w:t>
      </w:r>
      <w:r>
        <w:rPr>
          <w:spacing w:val="-4"/>
          <w:sz w:val="20"/>
        </w:rPr>
        <w:t> </w:t>
      </w:r>
      <w:r>
        <w:rPr>
          <w:sz w:val="20"/>
        </w:rPr>
        <w:t>in</w:t>
      </w:r>
      <w:r>
        <w:rPr>
          <w:spacing w:val="-4"/>
          <w:sz w:val="20"/>
        </w:rPr>
        <w:t> </w:t>
      </w:r>
      <w:r>
        <w:rPr>
          <w:sz w:val="20"/>
        </w:rPr>
        <w:t>the</w:t>
      </w:r>
      <w:r>
        <w:rPr>
          <w:spacing w:val="-3"/>
          <w:sz w:val="20"/>
        </w:rPr>
        <w:t> </w:t>
      </w:r>
      <w:r>
        <w:rPr>
          <w:sz w:val="20"/>
        </w:rPr>
        <w:t>course</w:t>
      </w:r>
      <w:r>
        <w:rPr>
          <w:spacing w:val="-4"/>
          <w:sz w:val="20"/>
        </w:rPr>
        <w:t> </w:t>
      </w:r>
      <w:r>
        <w:rPr>
          <w:sz w:val="20"/>
        </w:rPr>
        <w:t>of</w:t>
      </w:r>
      <w:r>
        <w:rPr>
          <w:spacing w:val="-4"/>
          <w:sz w:val="20"/>
        </w:rPr>
        <w:t> </w:t>
      </w:r>
      <w:r>
        <w:rPr>
          <w:sz w:val="20"/>
        </w:rPr>
        <w:t>trade.</w:t>
      </w:r>
    </w:p>
    <w:p>
      <w:pPr>
        <w:pStyle w:val="BodyText"/>
      </w:pPr>
    </w:p>
    <w:p>
      <w:pPr>
        <w:pStyle w:val="BodyText"/>
        <w:ind w:left="2059" w:right="1766"/>
        <w:jc w:val="both"/>
      </w:pPr>
      <w:r>
        <w:rPr/>
        <w:t>When goods that have had applied to them the Games indicia and/or images, are imported into Australia for the purpose of sale or distribution by a person, the person is taken to have applied the indicia and/or images to them.</w:t>
      </w:r>
    </w:p>
    <w:p>
      <w:pPr>
        <w:pStyle w:val="BodyText"/>
        <w:spacing w:before="3"/>
      </w:pPr>
    </w:p>
    <w:p>
      <w:pPr>
        <w:pStyle w:val="Heading2"/>
        <w:jc w:val="both"/>
      </w:pPr>
      <w:r>
        <w:rPr/>
        <w:t>Meaning of commercial purposes</w:t>
      </w:r>
    </w:p>
    <w:p>
      <w:pPr>
        <w:pStyle w:val="BodyText"/>
        <w:spacing w:before="9"/>
        <w:rPr>
          <w:rFonts w:ascii="Arial-BoldItalicMT"/>
          <w:b/>
          <w:i/>
          <w:sz w:val="19"/>
        </w:rPr>
      </w:pPr>
    </w:p>
    <w:p>
      <w:pPr>
        <w:pStyle w:val="BodyText"/>
        <w:ind w:left="2059" w:right="1867"/>
        <w:jc w:val="both"/>
      </w:pPr>
      <w:r>
        <w:rPr/>
        <w:t>A person is taken to have used the Games indicia and/or images for commercial purposes if:</w:t>
      </w:r>
    </w:p>
    <w:p>
      <w:pPr>
        <w:pStyle w:val="BodyText"/>
        <w:spacing w:before="3"/>
        <w:rPr>
          <w:sz w:val="11"/>
        </w:rPr>
      </w:pPr>
    </w:p>
    <w:p>
      <w:pPr>
        <w:pStyle w:val="ListParagraph"/>
        <w:numPr>
          <w:ilvl w:val="1"/>
          <w:numId w:val="2"/>
        </w:numPr>
        <w:tabs>
          <w:tab w:pos="2781" w:val="left" w:leader="none"/>
          <w:tab w:pos="2782" w:val="left" w:leader="none"/>
        </w:tabs>
        <w:spacing w:line="240" w:lineRule="auto" w:before="114" w:after="0"/>
        <w:ind w:left="2781" w:right="1957" w:hanging="360"/>
        <w:jc w:val="left"/>
        <w:rPr>
          <w:sz w:val="20"/>
        </w:rPr>
      </w:pPr>
      <w:r>
        <w:rPr>
          <w:sz w:val="20"/>
        </w:rPr>
        <w:t>they have applied Games indicia and/or images to any of their goods or services; and</w:t>
      </w:r>
    </w:p>
    <w:p>
      <w:pPr>
        <w:pStyle w:val="ListParagraph"/>
        <w:numPr>
          <w:ilvl w:val="1"/>
          <w:numId w:val="2"/>
        </w:numPr>
        <w:tabs>
          <w:tab w:pos="2781" w:val="left" w:leader="none"/>
          <w:tab w:pos="2782" w:val="left" w:leader="none"/>
        </w:tabs>
        <w:spacing w:line="240" w:lineRule="auto" w:before="13" w:after="0"/>
        <w:ind w:left="2781" w:right="1749" w:hanging="360"/>
        <w:jc w:val="left"/>
        <w:rPr>
          <w:sz w:val="20"/>
        </w:rPr>
      </w:pPr>
      <w:r>
        <w:rPr>
          <w:sz w:val="20"/>
        </w:rPr>
        <w:t>the</w:t>
      </w:r>
      <w:r>
        <w:rPr>
          <w:spacing w:val="-4"/>
          <w:sz w:val="20"/>
        </w:rPr>
        <w:t> </w:t>
      </w:r>
      <w:r>
        <w:rPr>
          <w:sz w:val="20"/>
        </w:rPr>
        <w:t>application</w:t>
      </w:r>
      <w:r>
        <w:rPr>
          <w:spacing w:val="-3"/>
          <w:sz w:val="20"/>
        </w:rPr>
        <w:t> </w:t>
      </w:r>
      <w:r>
        <w:rPr>
          <w:sz w:val="20"/>
        </w:rPr>
        <w:t>is</w:t>
      </w:r>
      <w:r>
        <w:rPr>
          <w:spacing w:val="-3"/>
          <w:sz w:val="20"/>
        </w:rPr>
        <w:t> </w:t>
      </w:r>
      <w:r>
        <w:rPr>
          <w:sz w:val="20"/>
        </w:rPr>
        <w:t>for</w:t>
      </w:r>
      <w:r>
        <w:rPr>
          <w:spacing w:val="-3"/>
          <w:sz w:val="20"/>
        </w:rPr>
        <w:t> </w:t>
      </w:r>
      <w:r>
        <w:rPr>
          <w:sz w:val="20"/>
        </w:rPr>
        <w:t>the</w:t>
      </w:r>
      <w:r>
        <w:rPr>
          <w:spacing w:val="-4"/>
          <w:sz w:val="20"/>
        </w:rPr>
        <w:t> </w:t>
      </w:r>
      <w:r>
        <w:rPr>
          <w:sz w:val="20"/>
        </w:rPr>
        <w:t>primary</w:t>
      </w:r>
      <w:r>
        <w:rPr>
          <w:spacing w:val="-3"/>
          <w:sz w:val="20"/>
        </w:rPr>
        <w:t> </w:t>
      </w:r>
      <w:r>
        <w:rPr>
          <w:sz w:val="20"/>
        </w:rPr>
        <w:t>purpose</w:t>
      </w:r>
      <w:r>
        <w:rPr>
          <w:spacing w:val="-4"/>
          <w:sz w:val="20"/>
        </w:rPr>
        <w:t> </w:t>
      </w:r>
      <w:r>
        <w:rPr>
          <w:sz w:val="20"/>
        </w:rPr>
        <w:t>of</w:t>
      </w:r>
      <w:r>
        <w:rPr>
          <w:spacing w:val="-2"/>
          <w:sz w:val="20"/>
        </w:rPr>
        <w:t> </w:t>
      </w:r>
      <w:r>
        <w:rPr>
          <w:sz w:val="20"/>
        </w:rPr>
        <w:t>advertising</w:t>
      </w:r>
      <w:r>
        <w:rPr>
          <w:spacing w:val="-4"/>
          <w:sz w:val="20"/>
        </w:rPr>
        <w:t> </w:t>
      </w:r>
      <w:r>
        <w:rPr>
          <w:sz w:val="20"/>
        </w:rPr>
        <w:t>or</w:t>
      </w:r>
      <w:r>
        <w:rPr>
          <w:spacing w:val="-3"/>
          <w:sz w:val="20"/>
        </w:rPr>
        <w:t> </w:t>
      </w:r>
      <w:r>
        <w:rPr>
          <w:sz w:val="20"/>
        </w:rPr>
        <w:t>promotion,</w:t>
      </w:r>
      <w:r>
        <w:rPr>
          <w:spacing w:val="-3"/>
          <w:sz w:val="20"/>
        </w:rPr>
        <w:t> </w:t>
      </w:r>
      <w:r>
        <w:rPr>
          <w:sz w:val="20"/>
        </w:rPr>
        <w:t>or</w:t>
      </w:r>
      <w:r>
        <w:rPr>
          <w:spacing w:val="-3"/>
          <w:sz w:val="20"/>
        </w:rPr>
        <w:t> </w:t>
      </w:r>
      <w:r>
        <w:rPr>
          <w:sz w:val="20"/>
        </w:rPr>
        <w:t>any</w:t>
      </w:r>
      <w:r>
        <w:rPr>
          <w:spacing w:val="-3"/>
          <w:sz w:val="20"/>
        </w:rPr>
        <w:t> </w:t>
      </w:r>
      <w:r>
        <w:rPr>
          <w:sz w:val="20"/>
        </w:rPr>
        <w:t>activity that would increase their sales;</w:t>
      </w:r>
      <w:r>
        <w:rPr>
          <w:spacing w:val="-6"/>
          <w:sz w:val="20"/>
        </w:rPr>
        <w:t> </w:t>
      </w:r>
      <w:r>
        <w:rPr>
          <w:sz w:val="20"/>
        </w:rPr>
        <w:t>and</w:t>
      </w:r>
    </w:p>
    <w:p>
      <w:pPr>
        <w:pStyle w:val="ListParagraph"/>
        <w:numPr>
          <w:ilvl w:val="1"/>
          <w:numId w:val="2"/>
        </w:numPr>
        <w:tabs>
          <w:tab w:pos="2781" w:val="left" w:leader="none"/>
          <w:tab w:pos="2782" w:val="left" w:leader="none"/>
        </w:tabs>
        <w:spacing w:line="240" w:lineRule="auto" w:before="14" w:after="0"/>
        <w:ind w:left="2781" w:right="1924" w:hanging="360"/>
        <w:jc w:val="left"/>
        <w:rPr>
          <w:sz w:val="20"/>
        </w:rPr>
      </w:pPr>
      <w:r>
        <w:rPr>
          <w:sz w:val="20"/>
        </w:rPr>
        <w:t>the application would suggest to a reasonable person that the person was, or</w:t>
      </w:r>
      <w:r>
        <w:rPr>
          <w:spacing w:val="-22"/>
          <w:sz w:val="20"/>
        </w:rPr>
        <w:t> </w:t>
      </w:r>
      <w:r>
        <w:rPr>
          <w:sz w:val="20"/>
        </w:rPr>
        <w:t>has been a sponsor, or provided support for the</w:t>
      </w:r>
      <w:r>
        <w:rPr>
          <w:spacing w:val="-11"/>
          <w:sz w:val="20"/>
        </w:rPr>
        <w:t> </w:t>
      </w:r>
      <w:r>
        <w:rPr>
          <w:sz w:val="20"/>
        </w:rPr>
        <w:t>Games.</w:t>
      </w:r>
    </w:p>
    <w:p>
      <w:pPr>
        <w:pStyle w:val="BodyText"/>
        <w:spacing w:before="11"/>
        <w:rPr>
          <w:sz w:val="19"/>
        </w:rPr>
      </w:pPr>
    </w:p>
    <w:p>
      <w:pPr>
        <w:pStyle w:val="BodyText"/>
        <w:ind w:left="2059" w:right="1716"/>
      </w:pPr>
      <w:r>
        <w:rPr/>
        <w:t>Any other person who supplies or displays any such goods or services is also taken to have used such goods or services for commercial purposes.</w:t>
      </w:r>
    </w:p>
    <w:p>
      <w:pPr>
        <w:spacing w:after="0"/>
        <w:sectPr>
          <w:pgSz w:w="11900" w:h="16840"/>
          <w:pgMar w:header="0" w:footer="737" w:top="1360" w:bottom="920" w:left="0" w:right="0"/>
        </w:sectPr>
      </w:pPr>
    </w:p>
    <w:p>
      <w:pPr>
        <w:pStyle w:val="Heading1"/>
        <w:numPr>
          <w:ilvl w:val="0"/>
          <w:numId w:val="1"/>
        </w:numPr>
        <w:tabs>
          <w:tab w:pos="1924" w:val="left" w:leader="none"/>
        </w:tabs>
        <w:spacing w:line="240" w:lineRule="auto" w:before="78" w:after="0"/>
        <w:ind w:left="1923" w:right="0" w:hanging="223"/>
        <w:jc w:val="left"/>
      </w:pPr>
      <w:r>
        <w:rPr/>
        <w:t>Notice of Objection to</w:t>
      </w:r>
      <w:r>
        <w:rPr>
          <w:spacing w:val="-6"/>
        </w:rPr>
        <w:t> </w:t>
      </w:r>
      <w:r>
        <w:rPr/>
        <w:t>Importation</w:t>
      </w:r>
    </w:p>
    <w:p>
      <w:pPr>
        <w:pStyle w:val="BodyText"/>
        <w:spacing w:before="10"/>
        <w:rPr>
          <w:b/>
          <w:sz w:val="19"/>
        </w:rPr>
      </w:pPr>
    </w:p>
    <w:p>
      <w:pPr>
        <w:pStyle w:val="BodyText"/>
        <w:ind w:left="1701" w:right="2486"/>
      </w:pPr>
      <w:r>
        <w:rPr/>
        <w:t>A Notice of Objection may be lodged objecting to the importation of goods that have applied to them Melbourne 2006 Commonwealth Games indicia and/or images that the designated owner of the goods is not authorised under the Act to use for commercial purposes. A Notice of Objection must be accompanied by a copy of the particulars contained in the Register of authorised users of the Melbourne 2006 Commonwealth Games indicia and/or images in relation to each item for which the objector has given a notice. The copy of the Register must be certified by the Melbourne 2006 Commonwealth Games Corporation (refer section 18 of the Act).</w:t>
      </w:r>
    </w:p>
    <w:p>
      <w:pPr>
        <w:pStyle w:val="BodyText"/>
      </w:pPr>
    </w:p>
    <w:p>
      <w:pPr>
        <w:pStyle w:val="BodyText"/>
        <w:ind w:left="1701" w:right="2529"/>
      </w:pPr>
      <w:r>
        <w:rPr/>
        <w:t>A Notice of Objection must be accompanied by a security and be lodged and accepted by Customs before the goods are imported as it cannot operate retrospectively. It may be revoked by notice given in writing to the Chief Executive Officer of Customs at any time and all Notices cease to have effect when the Act ceases to have effect on</w:t>
      </w:r>
    </w:p>
    <w:p>
      <w:pPr>
        <w:pStyle w:val="BodyText"/>
        <w:spacing w:before="1"/>
        <w:ind w:left="1701" w:right="2108"/>
      </w:pPr>
      <w:r>
        <w:rPr/>
        <w:t>30 June 2006, or for an authorised user other than the ACGA or the CGF, on the day on which the user’s authorisation ceases to be in force.</w:t>
      </w:r>
    </w:p>
    <w:p>
      <w:pPr>
        <w:pStyle w:val="BodyText"/>
        <w:rPr>
          <w:sz w:val="22"/>
        </w:rPr>
      </w:pPr>
    </w:p>
    <w:p>
      <w:pPr>
        <w:pStyle w:val="BodyText"/>
        <w:rPr>
          <w:sz w:val="18"/>
        </w:rPr>
      </w:pPr>
    </w:p>
    <w:p>
      <w:pPr>
        <w:pStyle w:val="Heading1"/>
        <w:numPr>
          <w:ilvl w:val="0"/>
          <w:numId w:val="1"/>
        </w:numPr>
        <w:tabs>
          <w:tab w:pos="1924" w:val="left" w:leader="none"/>
        </w:tabs>
        <w:spacing w:line="240" w:lineRule="auto" w:before="0" w:after="0"/>
        <w:ind w:left="1923" w:right="0" w:hanging="223"/>
        <w:jc w:val="left"/>
      </w:pPr>
      <w:r>
        <w:rPr/>
        <w:t>The</w:t>
      </w:r>
      <w:r>
        <w:rPr>
          <w:spacing w:val="-2"/>
        </w:rPr>
        <w:t> </w:t>
      </w:r>
      <w:r>
        <w:rPr/>
        <w:t>Security</w:t>
      </w:r>
    </w:p>
    <w:p>
      <w:pPr>
        <w:pStyle w:val="BodyText"/>
        <w:rPr>
          <w:b/>
        </w:rPr>
      </w:pPr>
    </w:p>
    <w:p>
      <w:pPr>
        <w:pStyle w:val="BodyText"/>
        <w:ind w:left="1701" w:right="2507"/>
      </w:pPr>
      <w:r>
        <w:rPr/>
        <w:t>The amount of the Security will be an amount that the Chief Executive Officer of Customs considers sufficient to reimburse the Commonwealth for any expenses that may be incurred by it in seizing goods under the Act. This is currently set at $10,000. Where a debit note has been issued to the objector for seizure expenses and the claim is not satisfied within a specified time, Customs will draw on the Security.</w:t>
      </w:r>
    </w:p>
    <w:p>
      <w:pPr>
        <w:pStyle w:val="BodyText"/>
      </w:pPr>
    </w:p>
    <w:p>
      <w:pPr>
        <w:pStyle w:val="BodyText"/>
        <w:ind w:left="1701" w:right="2475"/>
      </w:pPr>
      <w:r>
        <w:rPr/>
        <w:t>Where the Security is insufficient to reimburse the Commonwealth for expenses incurred in relation to the seizure of the goods, the amount of the excess is a debt due by the objector which is recoverable in a court of competent jurisdiction. Customs' practice is to require that sureties to a Customs security be either an Australian bank or guarantee company which has been approved as a surety to Customs securities. A list of these institutions is available from Customs offices.</w:t>
      </w:r>
    </w:p>
    <w:p>
      <w:pPr>
        <w:pStyle w:val="BodyText"/>
        <w:rPr>
          <w:sz w:val="22"/>
        </w:rPr>
      </w:pPr>
    </w:p>
    <w:p>
      <w:pPr>
        <w:pStyle w:val="BodyText"/>
        <w:spacing w:before="1"/>
        <w:rPr>
          <w:sz w:val="18"/>
        </w:rPr>
      </w:pPr>
    </w:p>
    <w:p>
      <w:pPr>
        <w:pStyle w:val="Heading1"/>
        <w:numPr>
          <w:ilvl w:val="0"/>
          <w:numId w:val="1"/>
        </w:numPr>
        <w:tabs>
          <w:tab w:pos="1924" w:val="left" w:leader="none"/>
        </w:tabs>
        <w:spacing w:line="240" w:lineRule="auto" w:before="0" w:after="0"/>
        <w:ind w:left="1923" w:right="0" w:hanging="223"/>
        <w:jc w:val="left"/>
      </w:pPr>
      <w:r>
        <w:rPr/>
        <w:t>Persons Entitled to Lodge a Notice of</w:t>
      </w:r>
      <w:r>
        <w:rPr>
          <w:spacing w:val="-10"/>
        </w:rPr>
        <w:t> </w:t>
      </w:r>
      <w:r>
        <w:rPr/>
        <w:t>Objection</w:t>
      </w:r>
    </w:p>
    <w:p>
      <w:pPr>
        <w:pStyle w:val="BodyText"/>
        <w:spacing w:before="10"/>
        <w:rPr>
          <w:b/>
          <w:sz w:val="19"/>
        </w:rPr>
      </w:pPr>
    </w:p>
    <w:p>
      <w:pPr>
        <w:pStyle w:val="BodyText"/>
        <w:ind w:left="1701" w:right="1952"/>
      </w:pPr>
      <w:r>
        <w:rPr/>
        <w:t>The Melbourne 2006 Commonwealth Games Corporation or an authorised user may give the Customs CEO a written notice objecting to the importation of the goods.</w:t>
      </w:r>
    </w:p>
    <w:p>
      <w:pPr>
        <w:pStyle w:val="BodyText"/>
      </w:pPr>
    </w:p>
    <w:p>
      <w:pPr>
        <w:pStyle w:val="BodyText"/>
        <w:ind w:left="1701" w:right="1852"/>
      </w:pPr>
      <w:r>
        <w:rPr/>
        <w:t>An authorised user (other than the ACGA or the CGF) may only give a notice in relation to Melbourne 2006 Commonwealth Games indicia or images that the person is authorised to use under section 56D of the </w:t>
      </w:r>
      <w:r>
        <w:rPr>
          <w:b/>
        </w:rPr>
        <w:t>Commonwealth Games Arrangements Act 2001 </w:t>
      </w:r>
      <w:r>
        <w:rPr/>
        <w:t>of Victoria.</w:t>
      </w:r>
    </w:p>
    <w:p>
      <w:pPr>
        <w:pStyle w:val="BodyText"/>
      </w:pPr>
    </w:p>
    <w:p>
      <w:pPr>
        <w:pStyle w:val="BodyText"/>
        <w:ind w:left="1701" w:right="1774"/>
        <w:rPr>
          <w:sz w:val="18"/>
        </w:rPr>
      </w:pPr>
      <w:r>
        <w:rPr/>
        <w:t>An authorised user may not give notice except with written consent from the Melbourne 2006 Commonwealth Games Corporation. The Corporation is taken to have given the consent if an authorised user gives the Corporation a written request for consent under section 14 of the Act; and the Corporation neither gives nor refuses that consent before the end of the third working day following the day on which the request was given</w:t>
      </w:r>
      <w:r>
        <w:rPr>
          <w:sz w:val="18"/>
        </w:rPr>
        <w:t>.</w:t>
      </w:r>
    </w:p>
    <w:p>
      <w:pPr>
        <w:pStyle w:val="BodyText"/>
      </w:pPr>
    </w:p>
    <w:p>
      <w:pPr>
        <w:pStyle w:val="BodyText"/>
        <w:ind w:left="1701"/>
      </w:pPr>
      <w:r>
        <w:rPr/>
        <w:t>A letter or facsimile of the consent or the request would satisfy the above requirements.</w:t>
      </w:r>
    </w:p>
    <w:p>
      <w:pPr>
        <w:pStyle w:val="BodyText"/>
      </w:pPr>
    </w:p>
    <w:p>
      <w:pPr>
        <w:pStyle w:val="BodyText"/>
        <w:ind w:left="1701" w:right="2585"/>
      </w:pPr>
      <w:r>
        <w:rPr>
          <w:b/>
        </w:rPr>
        <w:t>NOTE: </w:t>
      </w:r>
      <w:r>
        <w:rPr/>
        <w:t>You should ensure all documentation is accurate and complete to facilitate the acceptance and implementation of the Notice.</w:t>
      </w:r>
    </w:p>
    <w:p>
      <w:pPr>
        <w:spacing w:after="0"/>
        <w:sectPr>
          <w:pgSz w:w="11900" w:h="16840"/>
          <w:pgMar w:header="0" w:footer="737" w:top="1360" w:bottom="920" w:left="0" w:right="0"/>
        </w:sectPr>
      </w:pPr>
    </w:p>
    <w:p>
      <w:pPr>
        <w:pStyle w:val="Heading1"/>
        <w:numPr>
          <w:ilvl w:val="0"/>
          <w:numId w:val="1"/>
        </w:numPr>
        <w:tabs>
          <w:tab w:pos="1924" w:val="left" w:leader="none"/>
        </w:tabs>
        <w:spacing w:line="240" w:lineRule="auto" w:before="78" w:after="0"/>
        <w:ind w:left="1923" w:right="0" w:hanging="223"/>
        <w:jc w:val="left"/>
      </w:pPr>
      <w:r>
        <w:rPr/>
        <w:t>Help Customs to Help</w:t>
      </w:r>
      <w:r>
        <w:rPr>
          <w:spacing w:val="-6"/>
        </w:rPr>
        <w:t> </w:t>
      </w:r>
      <w:r>
        <w:rPr/>
        <w:t>You</w:t>
      </w:r>
    </w:p>
    <w:p>
      <w:pPr>
        <w:pStyle w:val="BodyText"/>
        <w:spacing w:before="10"/>
        <w:rPr>
          <w:b/>
          <w:sz w:val="19"/>
        </w:rPr>
      </w:pPr>
    </w:p>
    <w:p>
      <w:pPr>
        <w:pStyle w:val="BodyText"/>
        <w:ind w:left="1701" w:right="2530"/>
      </w:pPr>
      <w:r>
        <w:rPr/>
        <w:t>Customs will take all reasonable steps to carry out its obligations under this legislation. However, as a very large volume of goods is imported each day, it is not possible to physically examine every item. Customs instead carries out a system of risk-based checks and audits to ensure compliance with regulations and other requirements.</w:t>
      </w:r>
    </w:p>
    <w:p>
      <w:pPr>
        <w:pStyle w:val="BodyText"/>
        <w:spacing w:before="1"/>
      </w:pPr>
    </w:p>
    <w:p>
      <w:pPr>
        <w:pStyle w:val="BodyText"/>
        <w:ind w:left="1701" w:right="2519"/>
      </w:pPr>
      <w:r>
        <w:rPr/>
        <w:t>To help Customs intercept shipments of infringing goods your assistance is necessary. Any information you are able to provide about suspect importations will help protect your rights with respect to goods which bear the Games indicia and/or images. The following information would be particularly useful:</w:t>
      </w:r>
    </w:p>
    <w:p>
      <w:pPr>
        <w:pStyle w:val="ListParagraph"/>
        <w:numPr>
          <w:ilvl w:val="0"/>
          <w:numId w:val="5"/>
        </w:numPr>
        <w:tabs>
          <w:tab w:pos="2421" w:val="left" w:leader="none"/>
          <w:tab w:pos="2422" w:val="left" w:leader="none"/>
        </w:tabs>
        <w:spacing w:line="240" w:lineRule="auto" w:before="12" w:after="0"/>
        <w:ind w:left="2421" w:right="0" w:hanging="363"/>
        <w:jc w:val="left"/>
        <w:rPr>
          <w:sz w:val="20"/>
        </w:rPr>
      </w:pPr>
      <w:r>
        <w:rPr>
          <w:sz w:val="20"/>
        </w:rPr>
        <w:t>designated name of</w:t>
      </w:r>
      <w:r>
        <w:rPr>
          <w:spacing w:val="-4"/>
          <w:sz w:val="20"/>
        </w:rPr>
        <w:t> </w:t>
      </w:r>
      <w:r>
        <w:rPr>
          <w:sz w:val="20"/>
        </w:rPr>
        <w:t>owner/importer;</w:t>
      </w:r>
    </w:p>
    <w:p>
      <w:pPr>
        <w:pStyle w:val="ListParagraph"/>
        <w:numPr>
          <w:ilvl w:val="0"/>
          <w:numId w:val="5"/>
        </w:numPr>
        <w:tabs>
          <w:tab w:pos="2421" w:val="left" w:leader="none"/>
          <w:tab w:pos="2422" w:val="left" w:leader="none"/>
        </w:tabs>
        <w:spacing w:line="240" w:lineRule="auto" w:before="14" w:after="0"/>
        <w:ind w:left="2421" w:right="0" w:hanging="363"/>
        <w:jc w:val="left"/>
        <w:rPr>
          <w:sz w:val="20"/>
        </w:rPr>
      </w:pPr>
      <w:r>
        <w:rPr>
          <w:sz w:val="20"/>
        </w:rPr>
        <w:t>name of overseas</w:t>
      </w:r>
      <w:r>
        <w:rPr>
          <w:spacing w:val="-3"/>
          <w:sz w:val="20"/>
        </w:rPr>
        <w:t> </w:t>
      </w:r>
      <w:r>
        <w:rPr>
          <w:sz w:val="20"/>
        </w:rPr>
        <w:t>supplier/manufacturer;</w:t>
      </w:r>
    </w:p>
    <w:p>
      <w:pPr>
        <w:pStyle w:val="ListParagraph"/>
        <w:numPr>
          <w:ilvl w:val="0"/>
          <w:numId w:val="5"/>
        </w:numPr>
        <w:tabs>
          <w:tab w:pos="2421" w:val="left" w:leader="none"/>
          <w:tab w:pos="2422" w:val="left" w:leader="none"/>
        </w:tabs>
        <w:spacing w:line="240" w:lineRule="auto" w:before="14" w:after="0"/>
        <w:ind w:left="2421" w:right="0" w:hanging="363"/>
        <w:jc w:val="left"/>
        <w:rPr>
          <w:sz w:val="20"/>
        </w:rPr>
      </w:pPr>
      <w:r>
        <w:rPr>
          <w:sz w:val="20"/>
        </w:rPr>
        <w:t>name of ship, airline/flight</w:t>
      </w:r>
      <w:r>
        <w:rPr>
          <w:spacing w:val="-5"/>
          <w:sz w:val="20"/>
        </w:rPr>
        <w:t> </w:t>
      </w:r>
      <w:r>
        <w:rPr>
          <w:sz w:val="20"/>
        </w:rPr>
        <w:t>number;</w:t>
      </w:r>
    </w:p>
    <w:p>
      <w:pPr>
        <w:pStyle w:val="ListParagraph"/>
        <w:numPr>
          <w:ilvl w:val="0"/>
          <w:numId w:val="5"/>
        </w:numPr>
        <w:tabs>
          <w:tab w:pos="2421" w:val="left" w:leader="none"/>
          <w:tab w:pos="2422" w:val="left" w:leader="none"/>
        </w:tabs>
        <w:spacing w:line="240" w:lineRule="auto" w:before="13" w:after="0"/>
        <w:ind w:left="2421" w:right="0" w:hanging="363"/>
        <w:jc w:val="left"/>
        <w:rPr>
          <w:sz w:val="20"/>
        </w:rPr>
      </w:pPr>
      <w:r>
        <w:rPr>
          <w:sz w:val="20"/>
        </w:rPr>
        <w:t>expected date/port of</w:t>
      </w:r>
      <w:r>
        <w:rPr>
          <w:spacing w:val="-4"/>
          <w:sz w:val="20"/>
        </w:rPr>
        <w:t> </w:t>
      </w:r>
      <w:r>
        <w:rPr>
          <w:sz w:val="20"/>
        </w:rPr>
        <w:t>arrival;</w:t>
      </w:r>
    </w:p>
    <w:p>
      <w:pPr>
        <w:pStyle w:val="ListParagraph"/>
        <w:numPr>
          <w:ilvl w:val="0"/>
          <w:numId w:val="5"/>
        </w:numPr>
        <w:tabs>
          <w:tab w:pos="2421" w:val="left" w:leader="none"/>
          <w:tab w:pos="2422" w:val="left" w:leader="none"/>
        </w:tabs>
        <w:spacing w:line="240" w:lineRule="auto" w:before="14" w:after="0"/>
        <w:ind w:left="2421" w:right="0" w:hanging="363"/>
        <w:jc w:val="left"/>
        <w:rPr>
          <w:sz w:val="20"/>
        </w:rPr>
      </w:pPr>
      <w:r>
        <w:rPr>
          <w:sz w:val="20"/>
        </w:rPr>
        <w:t>details/description/quantity/country of origin of the</w:t>
      </w:r>
      <w:r>
        <w:rPr>
          <w:spacing w:val="-8"/>
          <w:sz w:val="20"/>
        </w:rPr>
        <w:t> </w:t>
      </w:r>
      <w:r>
        <w:rPr>
          <w:sz w:val="20"/>
        </w:rPr>
        <w:t>goods.</w:t>
      </w:r>
    </w:p>
    <w:p>
      <w:pPr>
        <w:pStyle w:val="BodyText"/>
        <w:spacing w:before="11"/>
        <w:rPr>
          <w:sz w:val="19"/>
        </w:rPr>
      </w:pPr>
    </w:p>
    <w:p>
      <w:pPr>
        <w:pStyle w:val="BodyText"/>
        <w:ind w:left="1701"/>
      </w:pPr>
      <w:r>
        <w:rPr/>
        <w:t>All information will be treated in confidence.</w:t>
      </w:r>
    </w:p>
    <w:p>
      <w:pPr>
        <w:pStyle w:val="BodyText"/>
        <w:rPr>
          <w:sz w:val="22"/>
        </w:rPr>
      </w:pPr>
    </w:p>
    <w:p>
      <w:pPr>
        <w:pStyle w:val="BodyText"/>
        <w:spacing w:before="1"/>
        <w:rPr>
          <w:sz w:val="18"/>
        </w:rPr>
      </w:pPr>
    </w:p>
    <w:p>
      <w:pPr>
        <w:pStyle w:val="Heading1"/>
        <w:numPr>
          <w:ilvl w:val="0"/>
          <w:numId w:val="1"/>
        </w:numPr>
        <w:tabs>
          <w:tab w:pos="1924" w:val="left" w:leader="none"/>
        </w:tabs>
        <w:spacing w:line="240" w:lineRule="auto" w:before="0" w:after="0"/>
        <w:ind w:left="1923" w:right="0" w:hanging="223"/>
        <w:jc w:val="left"/>
      </w:pPr>
      <w:r>
        <w:rPr/>
        <w:t>Notification of</w:t>
      </w:r>
      <w:r>
        <w:rPr>
          <w:spacing w:val="-3"/>
        </w:rPr>
        <w:t> </w:t>
      </w:r>
      <w:r>
        <w:rPr/>
        <w:t>Seizure</w:t>
      </w:r>
    </w:p>
    <w:p>
      <w:pPr>
        <w:pStyle w:val="BodyText"/>
        <w:spacing w:before="10"/>
        <w:rPr>
          <w:b/>
          <w:sz w:val="19"/>
        </w:rPr>
      </w:pPr>
    </w:p>
    <w:p>
      <w:pPr>
        <w:pStyle w:val="BodyText"/>
        <w:ind w:left="1701" w:right="2473"/>
      </w:pPr>
      <w:r>
        <w:rPr/>
        <w:t>Section 22 of the Act provides that as soon as practicable after goods are seized, Customs will give both the designated owner and the Objector, either personally or by post, a written notice identifying the goods and stating that the goods have been seized under section 21 of the Act.</w:t>
      </w:r>
    </w:p>
    <w:p>
      <w:pPr>
        <w:pStyle w:val="BodyText"/>
        <w:rPr>
          <w:sz w:val="22"/>
        </w:rPr>
      </w:pPr>
    </w:p>
    <w:p>
      <w:pPr>
        <w:pStyle w:val="BodyText"/>
        <w:spacing w:before="1"/>
        <w:rPr>
          <w:sz w:val="18"/>
        </w:rPr>
      </w:pPr>
    </w:p>
    <w:p>
      <w:pPr>
        <w:pStyle w:val="Heading1"/>
        <w:numPr>
          <w:ilvl w:val="0"/>
          <w:numId w:val="1"/>
        </w:numPr>
        <w:tabs>
          <w:tab w:pos="1925" w:val="left" w:leader="none"/>
        </w:tabs>
        <w:spacing w:line="240" w:lineRule="auto" w:before="1" w:after="0"/>
        <w:ind w:left="1924" w:right="0" w:hanging="224"/>
        <w:jc w:val="left"/>
      </w:pPr>
      <w:r>
        <w:rPr/>
        <w:t>Forfeiture of Goods - by</w:t>
      </w:r>
      <w:r>
        <w:rPr>
          <w:spacing w:val="-9"/>
        </w:rPr>
        <w:t> </w:t>
      </w:r>
      <w:r>
        <w:rPr/>
        <w:t>Consent</w:t>
      </w:r>
    </w:p>
    <w:p>
      <w:pPr>
        <w:pStyle w:val="BodyText"/>
        <w:spacing w:before="11"/>
        <w:rPr>
          <w:b/>
          <w:sz w:val="19"/>
        </w:rPr>
      </w:pPr>
    </w:p>
    <w:p>
      <w:pPr>
        <w:pStyle w:val="BodyText"/>
        <w:ind w:left="1701" w:right="2428"/>
      </w:pPr>
      <w:r>
        <w:rPr/>
        <w:t>The designated owner (importer) of any seized goods may, at any time before the objector makes an application for an injunction in respect of the goods, consent to the goods</w:t>
      </w:r>
    </w:p>
    <w:p>
      <w:pPr>
        <w:pStyle w:val="BodyText"/>
        <w:ind w:left="1701"/>
      </w:pPr>
      <w:r>
        <w:rPr/>
        <w:t>being forfeited to the Commonwealth by giving a written notice to Customs.</w:t>
      </w:r>
    </w:p>
    <w:p>
      <w:pPr>
        <w:pStyle w:val="BodyText"/>
        <w:rPr>
          <w:sz w:val="22"/>
        </w:rPr>
      </w:pPr>
    </w:p>
    <w:p>
      <w:pPr>
        <w:pStyle w:val="BodyText"/>
        <w:spacing w:before="1"/>
        <w:rPr>
          <w:sz w:val="18"/>
        </w:rPr>
      </w:pPr>
    </w:p>
    <w:p>
      <w:pPr>
        <w:pStyle w:val="Heading1"/>
        <w:numPr>
          <w:ilvl w:val="0"/>
          <w:numId w:val="1"/>
        </w:numPr>
        <w:tabs>
          <w:tab w:pos="1924" w:val="left" w:leader="none"/>
        </w:tabs>
        <w:spacing w:line="240" w:lineRule="auto" w:before="0" w:after="0"/>
        <w:ind w:left="1923" w:right="0" w:hanging="223"/>
        <w:jc w:val="left"/>
      </w:pPr>
      <w:r>
        <w:rPr/>
        <w:t>Release of Goods - No Application for</w:t>
      </w:r>
      <w:r>
        <w:rPr>
          <w:spacing w:val="-10"/>
        </w:rPr>
        <w:t> </w:t>
      </w:r>
      <w:r>
        <w:rPr/>
        <w:t>Injunction</w:t>
      </w:r>
    </w:p>
    <w:p>
      <w:pPr>
        <w:pStyle w:val="BodyText"/>
        <w:spacing w:before="10"/>
        <w:rPr>
          <w:b/>
          <w:sz w:val="19"/>
        </w:rPr>
      </w:pPr>
    </w:p>
    <w:p>
      <w:pPr>
        <w:pStyle w:val="BodyText"/>
        <w:ind w:left="1701" w:right="2474"/>
      </w:pPr>
      <w:r>
        <w:rPr/>
        <w:t>Customs must release seized goods which have not been forfeited to the Commonwealth to the designated owner of the goods if, within the specified application period (refer section 23 of the Act):</w:t>
      </w:r>
    </w:p>
    <w:p>
      <w:pPr>
        <w:pStyle w:val="BodyText"/>
        <w:spacing w:before="1"/>
        <w:rPr>
          <w:sz w:val="21"/>
        </w:rPr>
      </w:pPr>
    </w:p>
    <w:p>
      <w:pPr>
        <w:pStyle w:val="ListParagraph"/>
        <w:numPr>
          <w:ilvl w:val="0"/>
          <w:numId w:val="6"/>
        </w:numPr>
        <w:tabs>
          <w:tab w:pos="2421" w:val="left" w:leader="none"/>
          <w:tab w:pos="2422" w:val="left" w:leader="none"/>
        </w:tabs>
        <w:spacing w:line="240" w:lineRule="auto" w:before="0" w:after="0"/>
        <w:ind w:left="2421" w:right="1894" w:hanging="363"/>
        <w:jc w:val="left"/>
        <w:rPr>
          <w:b/>
          <w:sz w:val="20"/>
        </w:rPr>
      </w:pPr>
      <w:r>
        <w:rPr>
          <w:sz w:val="20"/>
        </w:rPr>
        <w:t>proceedings for an injunction have not been instituted by the objector in relation to the goods;</w:t>
      </w:r>
      <w:r>
        <w:rPr>
          <w:spacing w:val="-1"/>
          <w:sz w:val="20"/>
        </w:rPr>
        <w:t> </w:t>
      </w:r>
      <w:r>
        <w:rPr>
          <w:b/>
          <w:sz w:val="20"/>
        </w:rPr>
        <w:t>or</w:t>
      </w:r>
    </w:p>
    <w:p>
      <w:pPr>
        <w:pStyle w:val="ListParagraph"/>
        <w:numPr>
          <w:ilvl w:val="0"/>
          <w:numId w:val="6"/>
        </w:numPr>
        <w:tabs>
          <w:tab w:pos="2421" w:val="left" w:leader="none"/>
          <w:tab w:pos="2422" w:val="left" w:leader="none"/>
        </w:tabs>
        <w:spacing w:line="240" w:lineRule="auto" w:before="14" w:after="0"/>
        <w:ind w:left="2421" w:right="1803" w:hanging="363"/>
        <w:jc w:val="left"/>
        <w:rPr>
          <w:sz w:val="20"/>
        </w:rPr>
      </w:pPr>
      <w:r>
        <w:rPr>
          <w:sz w:val="20"/>
        </w:rPr>
        <w:t>though proceedings may have been instituted, the objector has not given written notice to Customs advising that proceedings have been</w:t>
      </w:r>
      <w:r>
        <w:rPr>
          <w:spacing w:val="-9"/>
          <w:sz w:val="20"/>
        </w:rPr>
        <w:t> </w:t>
      </w:r>
      <w:r>
        <w:rPr>
          <w:sz w:val="20"/>
        </w:rPr>
        <w:t>instituted.</w:t>
      </w:r>
    </w:p>
    <w:p>
      <w:pPr>
        <w:pStyle w:val="BodyText"/>
      </w:pPr>
    </w:p>
    <w:p>
      <w:pPr>
        <w:pStyle w:val="BodyText"/>
        <w:ind w:left="2421" w:right="2009"/>
      </w:pPr>
      <w:r>
        <w:rPr>
          <w:b/>
        </w:rPr>
        <w:t>WARNING: </w:t>
      </w:r>
      <w:r>
        <w:rPr/>
        <w:t>The objector should be aware that when advised by Customs of an importation, unless the objector has procedures in place at the end of the nominated timeframe, the goods </w:t>
      </w:r>
      <w:r>
        <w:rPr>
          <w:b/>
        </w:rPr>
        <w:t>will be released </w:t>
      </w:r>
      <w:r>
        <w:rPr/>
        <w:t>to the designated owner.</w:t>
      </w:r>
    </w:p>
    <w:p>
      <w:pPr>
        <w:pStyle w:val="BodyText"/>
        <w:rPr>
          <w:sz w:val="22"/>
        </w:rPr>
      </w:pPr>
    </w:p>
    <w:p>
      <w:pPr>
        <w:pStyle w:val="BodyText"/>
        <w:spacing w:before="1"/>
        <w:rPr>
          <w:sz w:val="18"/>
        </w:rPr>
      </w:pPr>
    </w:p>
    <w:p>
      <w:pPr>
        <w:pStyle w:val="Heading1"/>
        <w:numPr>
          <w:ilvl w:val="0"/>
          <w:numId w:val="1"/>
        </w:numPr>
        <w:tabs>
          <w:tab w:pos="2035" w:val="left" w:leader="none"/>
        </w:tabs>
        <w:spacing w:line="240" w:lineRule="auto" w:before="0" w:after="0"/>
        <w:ind w:left="2034" w:right="0" w:hanging="334"/>
        <w:jc w:val="left"/>
      </w:pPr>
      <w:r>
        <w:rPr/>
        <w:t>General</w:t>
      </w:r>
      <w:r>
        <w:rPr>
          <w:spacing w:val="-2"/>
        </w:rPr>
        <w:t> </w:t>
      </w:r>
      <w:r>
        <w:rPr/>
        <w:t>Information</w:t>
      </w:r>
    </w:p>
    <w:p>
      <w:pPr>
        <w:pStyle w:val="BodyText"/>
        <w:spacing w:before="11"/>
        <w:rPr>
          <w:b/>
          <w:sz w:val="19"/>
        </w:rPr>
      </w:pPr>
    </w:p>
    <w:p>
      <w:pPr>
        <w:pStyle w:val="BodyText"/>
        <w:ind w:left="1701" w:right="2760"/>
        <w:jc w:val="both"/>
      </w:pPr>
      <w:r>
        <w:rPr/>
        <w:t>Compliance with the requirements outlined in this notice should facilitate the prompt processing of the Notice of Objection. All Notice of Objection applications should be sent directly to the Australian Customs Service, Intellectual Property Rights,</w:t>
      </w:r>
    </w:p>
    <w:p>
      <w:pPr>
        <w:pStyle w:val="BodyText"/>
        <w:ind w:left="1701"/>
        <w:jc w:val="both"/>
      </w:pPr>
      <w:r>
        <w:rPr/>
        <w:t>Cargo Branch, 5 Constitution Avenue, Canberra City, ACT 2601.</w:t>
      </w:r>
    </w:p>
    <w:p>
      <w:pPr>
        <w:spacing w:after="0"/>
        <w:jc w:val="both"/>
        <w:sectPr>
          <w:pgSz w:w="11900" w:h="16840"/>
          <w:pgMar w:header="0" w:footer="737" w:top="1360" w:bottom="920" w:left="0" w:right="0"/>
        </w:sectPr>
      </w:pPr>
    </w:p>
    <w:p>
      <w:pPr>
        <w:spacing w:before="77"/>
        <w:ind w:left="1701" w:right="2497" w:firstLine="0"/>
        <w:jc w:val="left"/>
        <w:rPr>
          <w:sz w:val="20"/>
        </w:rPr>
      </w:pPr>
      <w:r>
        <w:rPr>
          <w:sz w:val="20"/>
        </w:rPr>
        <w:t>Further information regarding the </w:t>
      </w:r>
      <w:r>
        <w:rPr>
          <w:i/>
          <w:sz w:val="20"/>
        </w:rPr>
        <w:t>Melbourne 2006 Commonwealth Games (Indicia And Images) Protection Act 2005 </w:t>
      </w:r>
      <w:r>
        <w:rPr>
          <w:sz w:val="20"/>
        </w:rPr>
        <w:t>may be obtained from either the Department of Communications, Information Technology and the Arts on telephone number</w:t>
      </w:r>
    </w:p>
    <w:p>
      <w:pPr>
        <w:pStyle w:val="BodyText"/>
        <w:ind w:left="1701" w:right="2774"/>
      </w:pPr>
      <w:r>
        <w:rPr/>
        <w:t>(02) 6271 1607; or the Australian Customs Service, Intellectual Property Rights, Cargo Branch, on telephone number (02) 6275 6445, fax number (02) 6279 3444 or email </w:t>
      </w:r>
      <w:hyperlink r:id="rId8">
        <w:r>
          <w:rPr>
            <w:u w:val="single"/>
          </w:rPr>
          <w:t>iprights@customs.gov.au</w:t>
        </w:r>
        <w:r>
          <w:rPr/>
          <w:t>.</w:t>
        </w:r>
      </w:hyperlink>
    </w:p>
    <w:p>
      <w:pPr>
        <w:pStyle w:val="BodyText"/>
      </w:pPr>
    </w:p>
    <w:p>
      <w:pPr>
        <w:pStyle w:val="BodyText"/>
        <w:ind w:left="1701"/>
      </w:pPr>
      <w:r>
        <w:rPr/>
        <w:t>Copies of the Act can be found on </w:t>
      </w:r>
      <w:hyperlink r:id="rId9">
        <w:r>
          <w:rPr>
            <w:u w:val="single"/>
          </w:rPr>
          <w:t>www.comlaw.gov.au</w:t>
        </w:r>
        <w:r>
          <w:rPr/>
          <w:t> </w:t>
        </w:r>
      </w:hyperlink>
      <w:r>
        <w:rPr/>
        <w:t>or </w:t>
      </w:r>
      <w:hyperlink r:id="rId10">
        <w:r>
          <w:rPr>
            <w:u w:val="single"/>
          </w:rPr>
          <w:t>www.dcita.gov.au</w:t>
        </w:r>
      </w:hyperlink>
    </w:p>
    <w:p>
      <w:pPr>
        <w:pStyle w:val="BodyText"/>
      </w:pPr>
    </w:p>
    <w:p>
      <w:pPr>
        <w:pStyle w:val="BodyText"/>
      </w:pPr>
    </w:p>
    <w:p>
      <w:pPr>
        <w:pStyle w:val="BodyText"/>
      </w:pPr>
    </w:p>
    <w:p>
      <w:pPr>
        <w:pStyle w:val="BodyText"/>
      </w:pPr>
    </w:p>
    <w:p>
      <w:pPr>
        <w:pStyle w:val="BodyText"/>
      </w:pPr>
    </w:p>
    <w:p>
      <w:pPr>
        <w:pStyle w:val="BodyText"/>
      </w:pPr>
    </w:p>
    <w:p>
      <w:pPr>
        <w:pStyle w:val="BodyText"/>
        <w:ind w:left="1701" w:right="8561"/>
        <w:jc w:val="both"/>
      </w:pPr>
      <w:r>
        <w:rPr/>
        <w:t>Philomena Carnell National Manager Cargo Branch</w:t>
      </w:r>
    </w:p>
    <w:p>
      <w:pPr>
        <w:pStyle w:val="BodyText"/>
        <w:rPr>
          <w:sz w:val="18"/>
        </w:rPr>
      </w:pPr>
    </w:p>
    <w:p>
      <w:pPr>
        <w:pStyle w:val="BodyText"/>
        <w:ind w:left="1922"/>
      </w:pPr>
      <w:r>
        <w:rPr/>
        <w:t>July 2005</w:t>
      </w:r>
    </w:p>
    <w:sectPr>
      <w:pgSz w:w="11900" w:h="16840"/>
      <w:pgMar w:header="0" w:footer="737" w:top="136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1.839813pt;margin-top:794.168945pt;width:11.6pt;height:13.2pt;mso-position-horizontal-relative:page;mso-position-vertical-relative:page;z-index:-15885824"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2421" w:hanging="363"/>
      </w:pPr>
      <w:rPr>
        <w:rFonts w:hint="default" w:ascii="Arial" w:hAnsi="Arial" w:eastAsia="Arial" w:cs="Arial"/>
        <w:w w:val="131"/>
        <w:sz w:val="20"/>
        <w:szCs w:val="20"/>
      </w:rPr>
    </w:lvl>
    <w:lvl w:ilvl="1">
      <w:start w:val="0"/>
      <w:numFmt w:val="bullet"/>
      <w:lvlText w:val="•"/>
      <w:lvlJc w:val="left"/>
      <w:pPr>
        <w:ind w:left="3368" w:hanging="363"/>
      </w:pPr>
      <w:rPr>
        <w:rFonts w:hint="default"/>
      </w:rPr>
    </w:lvl>
    <w:lvl w:ilvl="2">
      <w:start w:val="0"/>
      <w:numFmt w:val="bullet"/>
      <w:lvlText w:val="•"/>
      <w:lvlJc w:val="left"/>
      <w:pPr>
        <w:ind w:left="4316" w:hanging="363"/>
      </w:pPr>
      <w:rPr>
        <w:rFonts w:hint="default"/>
      </w:rPr>
    </w:lvl>
    <w:lvl w:ilvl="3">
      <w:start w:val="0"/>
      <w:numFmt w:val="bullet"/>
      <w:lvlText w:val="•"/>
      <w:lvlJc w:val="left"/>
      <w:pPr>
        <w:ind w:left="5264" w:hanging="363"/>
      </w:pPr>
      <w:rPr>
        <w:rFonts w:hint="default"/>
      </w:rPr>
    </w:lvl>
    <w:lvl w:ilvl="4">
      <w:start w:val="0"/>
      <w:numFmt w:val="bullet"/>
      <w:lvlText w:val="•"/>
      <w:lvlJc w:val="left"/>
      <w:pPr>
        <w:ind w:left="6212" w:hanging="363"/>
      </w:pPr>
      <w:rPr>
        <w:rFonts w:hint="default"/>
      </w:rPr>
    </w:lvl>
    <w:lvl w:ilvl="5">
      <w:start w:val="0"/>
      <w:numFmt w:val="bullet"/>
      <w:lvlText w:val="•"/>
      <w:lvlJc w:val="left"/>
      <w:pPr>
        <w:ind w:left="7160" w:hanging="363"/>
      </w:pPr>
      <w:rPr>
        <w:rFonts w:hint="default"/>
      </w:rPr>
    </w:lvl>
    <w:lvl w:ilvl="6">
      <w:start w:val="0"/>
      <w:numFmt w:val="bullet"/>
      <w:lvlText w:val="•"/>
      <w:lvlJc w:val="left"/>
      <w:pPr>
        <w:ind w:left="8108" w:hanging="363"/>
      </w:pPr>
      <w:rPr>
        <w:rFonts w:hint="default"/>
      </w:rPr>
    </w:lvl>
    <w:lvl w:ilvl="7">
      <w:start w:val="0"/>
      <w:numFmt w:val="bullet"/>
      <w:lvlText w:val="•"/>
      <w:lvlJc w:val="left"/>
      <w:pPr>
        <w:ind w:left="9056" w:hanging="363"/>
      </w:pPr>
      <w:rPr>
        <w:rFonts w:hint="default"/>
      </w:rPr>
    </w:lvl>
    <w:lvl w:ilvl="8">
      <w:start w:val="0"/>
      <w:numFmt w:val="bullet"/>
      <w:lvlText w:val="•"/>
      <w:lvlJc w:val="left"/>
      <w:pPr>
        <w:ind w:left="10004" w:hanging="363"/>
      </w:pPr>
      <w:rPr>
        <w:rFonts w:hint="default"/>
      </w:rPr>
    </w:lvl>
  </w:abstractNum>
  <w:abstractNum w:abstractNumId="4">
    <w:multiLevelType w:val="hybridMultilevel"/>
    <w:lvl w:ilvl="0">
      <w:start w:val="0"/>
      <w:numFmt w:val="bullet"/>
      <w:lvlText w:val="•"/>
      <w:lvlJc w:val="left"/>
      <w:pPr>
        <w:ind w:left="2421" w:hanging="363"/>
      </w:pPr>
      <w:rPr>
        <w:rFonts w:hint="default" w:ascii="Arial" w:hAnsi="Arial" w:eastAsia="Arial" w:cs="Arial"/>
        <w:w w:val="131"/>
        <w:sz w:val="20"/>
        <w:szCs w:val="20"/>
      </w:rPr>
    </w:lvl>
    <w:lvl w:ilvl="1">
      <w:start w:val="0"/>
      <w:numFmt w:val="bullet"/>
      <w:lvlText w:val="•"/>
      <w:lvlJc w:val="left"/>
      <w:pPr>
        <w:ind w:left="3368" w:hanging="363"/>
      </w:pPr>
      <w:rPr>
        <w:rFonts w:hint="default"/>
      </w:rPr>
    </w:lvl>
    <w:lvl w:ilvl="2">
      <w:start w:val="0"/>
      <w:numFmt w:val="bullet"/>
      <w:lvlText w:val="•"/>
      <w:lvlJc w:val="left"/>
      <w:pPr>
        <w:ind w:left="4316" w:hanging="363"/>
      </w:pPr>
      <w:rPr>
        <w:rFonts w:hint="default"/>
      </w:rPr>
    </w:lvl>
    <w:lvl w:ilvl="3">
      <w:start w:val="0"/>
      <w:numFmt w:val="bullet"/>
      <w:lvlText w:val="•"/>
      <w:lvlJc w:val="left"/>
      <w:pPr>
        <w:ind w:left="5264" w:hanging="363"/>
      </w:pPr>
      <w:rPr>
        <w:rFonts w:hint="default"/>
      </w:rPr>
    </w:lvl>
    <w:lvl w:ilvl="4">
      <w:start w:val="0"/>
      <w:numFmt w:val="bullet"/>
      <w:lvlText w:val="•"/>
      <w:lvlJc w:val="left"/>
      <w:pPr>
        <w:ind w:left="6212" w:hanging="363"/>
      </w:pPr>
      <w:rPr>
        <w:rFonts w:hint="default"/>
      </w:rPr>
    </w:lvl>
    <w:lvl w:ilvl="5">
      <w:start w:val="0"/>
      <w:numFmt w:val="bullet"/>
      <w:lvlText w:val="•"/>
      <w:lvlJc w:val="left"/>
      <w:pPr>
        <w:ind w:left="7160" w:hanging="363"/>
      </w:pPr>
      <w:rPr>
        <w:rFonts w:hint="default"/>
      </w:rPr>
    </w:lvl>
    <w:lvl w:ilvl="6">
      <w:start w:val="0"/>
      <w:numFmt w:val="bullet"/>
      <w:lvlText w:val="•"/>
      <w:lvlJc w:val="left"/>
      <w:pPr>
        <w:ind w:left="8108" w:hanging="363"/>
      </w:pPr>
      <w:rPr>
        <w:rFonts w:hint="default"/>
      </w:rPr>
    </w:lvl>
    <w:lvl w:ilvl="7">
      <w:start w:val="0"/>
      <w:numFmt w:val="bullet"/>
      <w:lvlText w:val="•"/>
      <w:lvlJc w:val="left"/>
      <w:pPr>
        <w:ind w:left="9056" w:hanging="363"/>
      </w:pPr>
      <w:rPr>
        <w:rFonts w:hint="default"/>
      </w:rPr>
    </w:lvl>
    <w:lvl w:ilvl="8">
      <w:start w:val="0"/>
      <w:numFmt w:val="bullet"/>
      <w:lvlText w:val="•"/>
      <w:lvlJc w:val="left"/>
      <w:pPr>
        <w:ind w:left="10004" w:hanging="363"/>
      </w:pPr>
      <w:rPr>
        <w:rFonts w:hint="default"/>
      </w:rPr>
    </w:lvl>
  </w:abstractNum>
  <w:abstractNum w:abstractNumId="3">
    <w:multiLevelType w:val="hybridMultilevel"/>
    <w:lvl w:ilvl="0">
      <w:start w:val="1"/>
      <w:numFmt w:val="lowerLetter"/>
      <w:lvlText w:val="(%1)"/>
      <w:lvlJc w:val="left"/>
      <w:pPr>
        <w:ind w:left="2781" w:hanging="360"/>
        <w:jc w:val="left"/>
      </w:pPr>
      <w:rPr>
        <w:rFonts w:hint="default" w:ascii="Arial" w:hAnsi="Arial" w:eastAsia="Arial" w:cs="Arial"/>
        <w:spacing w:val="-1"/>
        <w:w w:val="100"/>
        <w:sz w:val="20"/>
        <w:szCs w:val="20"/>
      </w:rPr>
    </w:lvl>
    <w:lvl w:ilvl="1">
      <w:start w:val="1"/>
      <w:numFmt w:val="lowerRoman"/>
      <w:lvlText w:val="(%2)"/>
      <w:lvlJc w:val="left"/>
      <w:pPr>
        <w:ind w:left="3501" w:hanging="721"/>
        <w:jc w:val="left"/>
      </w:pPr>
      <w:rPr>
        <w:rFonts w:hint="default" w:ascii="Arial" w:hAnsi="Arial" w:eastAsia="Arial" w:cs="Arial"/>
        <w:spacing w:val="-1"/>
        <w:w w:val="100"/>
        <w:sz w:val="20"/>
        <w:szCs w:val="20"/>
      </w:rPr>
    </w:lvl>
    <w:lvl w:ilvl="2">
      <w:start w:val="0"/>
      <w:numFmt w:val="bullet"/>
      <w:lvlText w:val="•"/>
      <w:lvlJc w:val="left"/>
      <w:pPr>
        <w:ind w:left="4433" w:hanging="721"/>
      </w:pPr>
      <w:rPr>
        <w:rFonts w:hint="default"/>
      </w:rPr>
    </w:lvl>
    <w:lvl w:ilvl="3">
      <w:start w:val="0"/>
      <w:numFmt w:val="bullet"/>
      <w:lvlText w:val="•"/>
      <w:lvlJc w:val="left"/>
      <w:pPr>
        <w:ind w:left="5366" w:hanging="721"/>
      </w:pPr>
      <w:rPr>
        <w:rFonts w:hint="default"/>
      </w:rPr>
    </w:lvl>
    <w:lvl w:ilvl="4">
      <w:start w:val="0"/>
      <w:numFmt w:val="bullet"/>
      <w:lvlText w:val="•"/>
      <w:lvlJc w:val="left"/>
      <w:pPr>
        <w:ind w:left="6300" w:hanging="721"/>
      </w:pPr>
      <w:rPr>
        <w:rFonts w:hint="default"/>
      </w:rPr>
    </w:lvl>
    <w:lvl w:ilvl="5">
      <w:start w:val="0"/>
      <w:numFmt w:val="bullet"/>
      <w:lvlText w:val="•"/>
      <w:lvlJc w:val="left"/>
      <w:pPr>
        <w:ind w:left="7233" w:hanging="721"/>
      </w:pPr>
      <w:rPr>
        <w:rFonts w:hint="default"/>
      </w:rPr>
    </w:lvl>
    <w:lvl w:ilvl="6">
      <w:start w:val="0"/>
      <w:numFmt w:val="bullet"/>
      <w:lvlText w:val="•"/>
      <w:lvlJc w:val="left"/>
      <w:pPr>
        <w:ind w:left="8166" w:hanging="721"/>
      </w:pPr>
      <w:rPr>
        <w:rFonts w:hint="default"/>
      </w:rPr>
    </w:lvl>
    <w:lvl w:ilvl="7">
      <w:start w:val="0"/>
      <w:numFmt w:val="bullet"/>
      <w:lvlText w:val="•"/>
      <w:lvlJc w:val="left"/>
      <w:pPr>
        <w:ind w:left="9100" w:hanging="721"/>
      </w:pPr>
      <w:rPr>
        <w:rFonts w:hint="default"/>
      </w:rPr>
    </w:lvl>
    <w:lvl w:ilvl="8">
      <w:start w:val="0"/>
      <w:numFmt w:val="bullet"/>
      <w:lvlText w:val="•"/>
      <w:lvlJc w:val="left"/>
      <w:pPr>
        <w:ind w:left="10033" w:hanging="721"/>
      </w:pPr>
      <w:rPr>
        <w:rFonts w:hint="default"/>
      </w:rPr>
    </w:lvl>
  </w:abstractNum>
  <w:abstractNum w:abstractNumId="2">
    <w:multiLevelType w:val="hybridMultilevel"/>
    <w:lvl w:ilvl="0">
      <w:start w:val="1"/>
      <w:numFmt w:val="lowerLetter"/>
      <w:lvlText w:val="(%1)"/>
      <w:lvlJc w:val="left"/>
      <w:pPr>
        <w:ind w:left="2781" w:hanging="361"/>
        <w:jc w:val="left"/>
      </w:pPr>
      <w:rPr>
        <w:rFonts w:hint="default" w:ascii="Arial" w:hAnsi="Arial" w:eastAsia="Arial" w:cs="Arial"/>
        <w:w w:val="100"/>
        <w:sz w:val="20"/>
        <w:szCs w:val="20"/>
      </w:rPr>
    </w:lvl>
    <w:lvl w:ilvl="1">
      <w:start w:val="0"/>
      <w:numFmt w:val="bullet"/>
      <w:lvlText w:val="•"/>
      <w:lvlJc w:val="left"/>
      <w:pPr>
        <w:ind w:left="3692" w:hanging="361"/>
      </w:pPr>
      <w:rPr>
        <w:rFonts w:hint="default"/>
      </w:rPr>
    </w:lvl>
    <w:lvl w:ilvl="2">
      <w:start w:val="0"/>
      <w:numFmt w:val="bullet"/>
      <w:lvlText w:val="•"/>
      <w:lvlJc w:val="left"/>
      <w:pPr>
        <w:ind w:left="4604" w:hanging="361"/>
      </w:pPr>
      <w:rPr>
        <w:rFonts w:hint="default"/>
      </w:rPr>
    </w:lvl>
    <w:lvl w:ilvl="3">
      <w:start w:val="0"/>
      <w:numFmt w:val="bullet"/>
      <w:lvlText w:val="•"/>
      <w:lvlJc w:val="left"/>
      <w:pPr>
        <w:ind w:left="5516" w:hanging="361"/>
      </w:pPr>
      <w:rPr>
        <w:rFonts w:hint="default"/>
      </w:rPr>
    </w:lvl>
    <w:lvl w:ilvl="4">
      <w:start w:val="0"/>
      <w:numFmt w:val="bullet"/>
      <w:lvlText w:val="•"/>
      <w:lvlJc w:val="left"/>
      <w:pPr>
        <w:ind w:left="6428" w:hanging="361"/>
      </w:pPr>
      <w:rPr>
        <w:rFonts w:hint="default"/>
      </w:rPr>
    </w:lvl>
    <w:lvl w:ilvl="5">
      <w:start w:val="0"/>
      <w:numFmt w:val="bullet"/>
      <w:lvlText w:val="•"/>
      <w:lvlJc w:val="left"/>
      <w:pPr>
        <w:ind w:left="7340" w:hanging="361"/>
      </w:pPr>
      <w:rPr>
        <w:rFonts w:hint="default"/>
      </w:rPr>
    </w:lvl>
    <w:lvl w:ilvl="6">
      <w:start w:val="0"/>
      <w:numFmt w:val="bullet"/>
      <w:lvlText w:val="•"/>
      <w:lvlJc w:val="left"/>
      <w:pPr>
        <w:ind w:left="8252" w:hanging="361"/>
      </w:pPr>
      <w:rPr>
        <w:rFonts w:hint="default"/>
      </w:rPr>
    </w:lvl>
    <w:lvl w:ilvl="7">
      <w:start w:val="0"/>
      <w:numFmt w:val="bullet"/>
      <w:lvlText w:val="•"/>
      <w:lvlJc w:val="left"/>
      <w:pPr>
        <w:ind w:left="9164" w:hanging="361"/>
      </w:pPr>
      <w:rPr>
        <w:rFonts w:hint="default"/>
      </w:rPr>
    </w:lvl>
    <w:lvl w:ilvl="8">
      <w:start w:val="0"/>
      <w:numFmt w:val="bullet"/>
      <w:lvlText w:val="•"/>
      <w:lvlJc w:val="left"/>
      <w:pPr>
        <w:ind w:left="10076" w:hanging="361"/>
      </w:pPr>
      <w:rPr>
        <w:rFonts w:hint="default"/>
      </w:rPr>
    </w:lvl>
  </w:abstractNum>
  <w:abstractNum w:abstractNumId="1">
    <w:multiLevelType w:val="hybridMultilevel"/>
    <w:lvl w:ilvl="0">
      <w:start w:val="0"/>
      <w:numFmt w:val="bullet"/>
      <w:lvlText w:val="•"/>
      <w:lvlJc w:val="left"/>
      <w:pPr>
        <w:ind w:left="2421" w:hanging="363"/>
      </w:pPr>
      <w:rPr>
        <w:rFonts w:hint="default" w:ascii="Arial" w:hAnsi="Arial" w:eastAsia="Arial" w:cs="Arial"/>
        <w:w w:val="131"/>
        <w:sz w:val="20"/>
        <w:szCs w:val="20"/>
      </w:rPr>
    </w:lvl>
    <w:lvl w:ilvl="1">
      <w:start w:val="0"/>
      <w:numFmt w:val="bullet"/>
      <w:lvlText w:val="•"/>
      <w:lvlJc w:val="left"/>
      <w:pPr>
        <w:ind w:left="2779" w:hanging="364"/>
      </w:pPr>
      <w:rPr>
        <w:rFonts w:hint="default" w:ascii="Arial" w:hAnsi="Arial" w:eastAsia="Arial" w:cs="Arial"/>
        <w:w w:val="131"/>
        <w:sz w:val="20"/>
        <w:szCs w:val="20"/>
      </w:rPr>
    </w:lvl>
    <w:lvl w:ilvl="2">
      <w:start w:val="0"/>
      <w:numFmt w:val="bullet"/>
      <w:lvlText w:val="•"/>
      <w:lvlJc w:val="left"/>
      <w:pPr>
        <w:ind w:left="3793" w:hanging="364"/>
      </w:pPr>
      <w:rPr>
        <w:rFonts w:hint="default"/>
      </w:rPr>
    </w:lvl>
    <w:lvl w:ilvl="3">
      <w:start w:val="0"/>
      <w:numFmt w:val="bullet"/>
      <w:lvlText w:val="•"/>
      <w:lvlJc w:val="left"/>
      <w:pPr>
        <w:ind w:left="4806" w:hanging="364"/>
      </w:pPr>
      <w:rPr>
        <w:rFonts w:hint="default"/>
      </w:rPr>
    </w:lvl>
    <w:lvl w:ilvl="4">
      <w:start w:val="0"/>
      <w:numFmt w:val="bullet"/>
      <w:lvlText w:val="•"/>
      <w:lvlJc w:val="left"/>
      <w:pPr>
        <w:ind w:left="5820" w:hanging="364"/>
      </w:pPr>
      <w:rPr>
        <w:rFonts w:hint="default"/>
      </w:rPr>
    </w:lvl>
    <w:lvl w:ilvl="5">
      <w:start w:val="0"/>
      <w:numFmt w:val="bullet"/>
      <w:lvlText w:val="•"/>
      <w:lvlJc w:val="left"/>
      <w:pPr>
        <w:ind w:left="6833" w:hanging="364"/>
      </w:pPr>
      <w:rPr>
        <w:rFonts w:hint="default"/>
      </w:rPr>
    </w:lvl>
    <w:lvl w:ilvl="6">
      <w:start w:val="0"/>
      <w:numFmt w:val="bullet"/>
      <w:lvlText w:val="•"/>
      <w:lvlJc w:val="left"/>
      <w:pPr>
        <w:ind w:left="7846" w:hanging="364"/>
      </w:pPr>
      <w:rPr>
        <w:rFonts w:hint="default"/>
      </w:rPr>
    </w:lvl>
    <w:lvl w:ilvl="7">
      <w:start w:val="0"/>
      <w:numFmt w:val="bullet"/>
      <w:lvlText w:val="•"/>
      <w:lvlJc w:val="left"/>
      <w:pPr>
        <w:ind w:left="8860" w:hanging="364"/>
      </w:pPr>
      <w:rPr>
        <w:rFonts w:hint="default"/>
      </w:rPr>
    </w:lvl>
    <w:lvl w:ilvl="8">
      <w:start w:val="0"/>
      <w:numFmt w:val="bullet"/>
      <w:lvlText w:val="•"/>
      <w:lvlJc w:val="left"/>
      <w:pPr>
        <w:ind w:left="9873" w:hanging="364"/>
      </w:pPr>
      <w:rPr>
        <w:rFonts w:hint="default"/>
      </w:rPr>
    </w:lvl>
  </w:abstractNum>
  <w:abstractNum w:abstractNumId="0">
    <w:multiLevelType w:val="hybridMultilevel"/>
    <w:lvl w:ilvl="0">
      <w:start w:val="1"/>
      <w:numFmt w:val="decimal"/>
      <w:lvlText w:val="%1."/>
      <w:lvlJc w:val="left"/>
      <w:pPr>
        <w:ind w:left="2073" w:hanging="223"/>
        <w:jc w:val="right"/>
      </w:pPr>
      <w:rPr>
        <w:rFonts w:hint="default" w:ascii="Arial" w:hAnsi="Arial" w:eastAsia="Arial" w:cs="Arial"/>
        <w:b/>
        <w:bCs/>
        <w:spacing w:val="-1"/>
        <w:w w:val="100"/>
        <w:sz w:val="20"/>
        <w:szCs w:val="20"/>
      </w:rPr>
    </w:lvl>
    <w:lvl w:ilvl="1">
      <w:start w:val="1"/>
      <w:numFmt w:val="lowerLetter"/>
      <w:lvlText w:val="(%2)"/>
      <w:lvlJc w:val="left"/>
      <w:pPr>
        <w:ind w:left="2421" w:hanging="363"/>
        <w:jc w:val="left"/>
      </w:pPr>
      <w:rPr>
        <w:rFonts w:hint="default" w:ascii="Arial" w:hAnsi="Arial" w:eastAsia="Arial" w:cs="Arial"/>
        <w:w w:val="100"/>
        <w:sz w:val="20"/>
        <w:szCs w:val="20"/>
      </w:rPr>
    </w:lvl>
    <w:lvl w:ilvl="2">
      <w:start w:val="1"/>
      <w:numFmt w:val="lowerLetter"/>
      <w:lvlText w:val="(%3)"/>
      <w:lvlJc w:val="left"/>
      <w:pPr>
        <w:ind w:left="2781" w:hanging="361"/>
        <w:jc w:val="left"/>
      </w:pPr>
      <w:rPr>
        <w:rFonts w:hint="default" w:ascii="Arial" w:hAnsi="Arial" w:eastAsia="Arial" w:cs="Arial"/>
        <w:w w:val="100"/>
        <w:sz w:val="20"/>
        <w:szCs w:val="20"/>
      </w:rPr>
    </w:lvl>
    <w:lvl w:ilvl="3">
      <w:start w:val="0"/>
      <w:numFmt w:val="bullet"/>
      <w:lvlText w:val="•"/>
      <w:lvlJc w:val="left"/>
      <w:pPr>
        <w:ind w:left="3920" w:hanging="361"/>
      </w:pPr>
      <w:rPr>
        <w:rFonts w:hint="default"/>
      </w:rPr>
    </w:lvl>
    <w:lvl w:ilvl="4">
      <w:start w:val="0"/>
      <w:numFmt w:val="bullet"/>
      <w:lvlText w:val="•"/>
      <w:lvlJc w:val="left"/>
      <w:pPr>
        <w:ind w:left="5060" w:hanging="361"/>
      </w:pPr>
      <w:rPr>
        <w:rFonts w:hint="default"/>
      </w:rPr>
    </w:lvl>
    <w:lvl w:ilvl="5">
      <w:start w:val="0"/>
      <w:numFmt w:val="bullet"/>
      <w:lvlText w:val="•"/>
      <w:lvlJc w:val="left"/>
      <w:pPr>
        <w:ind w:left="6200" w:hanging="361"/>
      </w:pPr>
      <w:rPr>
        <w:rFonts w:hint="default"/>
      </w:rPr>
    </w:lvl>
    <w:lvl w:ilvl="6">
      <w:start w:val="0"/>
      <w:numFmt w:val="bullet"/>
      <w:lvlText w:val="•"/>
      <w:lvlJc w:val="left"/>
      <w:pPr>
        <w:ind w:left="7340" w:hanging="361"/>
      </w:pPr>
      <w:rPr>
        <w:rFonts w:hint="default"/>
      </w:rPr>
    </w:lvl>
    <w:lvl w:ilvl="7">
      <w:start w:val="0"/>
      <w:numFmt w:val="bullet"/>
      <w:lvlText w:val="•"/>
      <w:lvlJc w:val="left"/>
      <w:pPr>
        <w:ind w:left="8480" w:hanging="361"/>
      </w:pPr>
      <w:rPr>
        <w:rFonts w:hint="default"/>
      </w:rPr>
    </w:lvl>
    <w:lvl w:ilvl="8">
      <w:start w:val="0"/>
      <w:numFmt w:val="bullet"/>
      <w:lvlText w:val="•"/>
      <w:lvlJc w:val="left"/>
      <w:pPr>
        <w:ind w:left="9620" w:hanging="36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923" w:hanging="223"/>
      <w:outlineLvl w:val="1"/>
    </w:pPr>
    <w:rPr>
      <w:rFonts w:ascii="Arial" w:hAnsi="Arial" w:eastAsia="Arial" w:cs="Arial"/>
      <w:b/>
      <w:bCs/>
      <w:sz w:val="20"/>
      <w:szCs w:val="20"/>
    </w:rPr>
  </w:style>
  <w:style w:styleId="Heading2" w:type="paragraph">
    <w:name w:val="Heading 2"/>
    <w:basedOn w:val="Normal"/>
    <w:uiPriority w:val="1"/>
    <w:qFormat/>
    <w:pPr>
      <w:ind w:left="2059"/>
      <w:outlineLvl w:val="2"/>
    </w:pPr>
    <w:rPr>
      <w:rFonts w:ascii="Arial-BoldItalicMT" w:hAnsi="Arial-BoldItalicMT" w:eastAsia="Arial-BoldItalicMT" w:cs="Arial-BoldItalicMT"/>
      <w:b/>
      <w:bCs/>
      <w:i/>
      <w:sz w:val="20"/>
      <w:szCs w:val="20"/>
    </w:rPr>
  </w:style>
  <w:style w:styleId="Title" w:type="paragraph">
    <w:name w:val="Title"/>
    <w:basedOn w:val="Normal"/>
    <w:uiPriority w:val="1"/>
    <w:qFormat/>
    <w:pPr>
      <w:spacing w:before="22"/>
      <w:ind w:left="2884" w:right="2876"/>
      <w:jc w:val="center"/>
    </w:pPr>
    <w:rPr>
      <w:rFonts w:ascii="Arial" w:hAnsi="Arial" w:eastAsia="Arial" w:cs="Arial"/>
      <w:b/>
      <w:bCs/>
      <w:sz w:val="28"/>
      <w:szCs w:val="28"/>
    </w:rPr>
  </w:style>
  <w:style w:styleId="ListParagraph" w:type="paragraph">
    <w:name w:val="List Paragraph"/>
    <w:basedOn w:val="Normal"/>
    <w:uiPriority w:val="1"/>
    <w:qFormat/>
    <w:pPr>
      <w:ind w:left="2421" w:hanging="363"/>
    </w:pPr>
    <w:rPr>
      <w:rFonts w:ascii="Arial" w:hAnsi="Arial" w:eastAsia="Arial" w:cs="Arial"/>
    </w:rPr>
  </w:style>
  <w:style w:styleId="TableParagraph" w:type="paragraph">
    <w:name w:val="Table Paragraph"/>
    <w:basedOn w:val="Normal"/>
    <w:uiPriority w:val="1"/>
    <w:qFormat/>
    <w:pPr>
      <w:ind w:left="153"/>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mailto:iprights@customs.gov.au" TargetMode="External"/><Relationship Id="rId9" Type="http://schemas.openxmlformats.org/officeDocument/2006/relationships/hyperlink" Target="http://www.comlaw.gov.au/" TargetMode="External"/><Relationship Id="rId10" Type="http://schemas.openxmlformats.org/officeDocument/2006/relationships/hyperlink" Target="http://www.dcita.gov.au/"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Melbourne 2006 Commonwealth Games (Indicia and Images) Protection Act 2005</dc:subject>
  <dc:title>Australian Customs Notice No. 2005/28</dc:title>
  <dcterms:created xsi:type="dcterms:W3CDTF">2020-12-09T22:37:30Z</dcterms:created>
  <dcterms:modified xsi:type="dcterms:W3CDTF">2020-12-09T22:37:30Z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2005-07-11T00:00:00Z</vt:filetime>
  </property>
  <property fmtid="{D5CDD505-2E9C-101B-9397-08002B2CF9AE}" pid="3" name="Creator">
    <vt:lpwstr>Acrobat PDFMaker 5.0 for Word</vt:lpwstr>
  </property>
  <property fmtid="{D5CDD505-2E9C-101B-9397-08002B2CF9AE}" pid="4" name="LastSaved">
    <vt:filetime>2020-12-09T00:00:00Z</vt:filetime>
  </property>
</Properties>
</file>