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-1289538</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36" w:id="1"/>
      <w:bookmarkEnd w:id="1"/>
      <w:r>
        <w:rPr>
          <w:b w:val="0"/>
        </w:rPr>
      </w:r>
      <w:r>
        <w:rPr/>
        <w:t>AUSTRALIAN CUSTOMS NOTICE NO. 2005/36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2883" w:right="2876" w:firstLine="0"/>
        <w:jc w:val="center"/>
        <w:rPr>
          <w:sz w:val="28"/>
        </w:rPr>
      </w:pPr>
      <w:bookmarkStart w:name="Cost Recovery Charges under CMR" w:id="2"/>
      <w:bookmarkEnd w:id="2"/>
      <w:r>
        <w:rPr/>
      </w:r>
      <w:r>
        <w:rPr>
          <w:sz w:val="28"/>
        </w:rPr>
        <w:t>Cost Recovery Charges under CMR</w:t>
      </w:r>
    </w:p>
    <w:p>
      <w:pPr>
        <w:pStyle w:val="BodyText"/>
        <w:rPr>
          <w:sz w:val="25"/>
        </w:rPr>
      </w:pPr>
    </w:p>
    <w:p>
      <w:pPr>
        <w:pStyle w:val="BodyText"/>
        <w:ind w:left="1701" w:right="1774"/>
      </w:pPr>
      <w:r>
        <w:rPr/>
        <w:t>Import processing charges in relation to import declarations and warehouse declarations have been amended for the introduction of the imports component of the Cargo Management Reengineering (CMR) project. The charges have been restructured to recognise the cost differences between each mode of importation and will also incorporate the processing costs of low value goods not requiring an entry.</w:t>
      </w:r>
    </w:p>
    <w:p>
      <w:pPr>
        <w:pStyle w:val="BodyText"/>
      </w:pPr>
    </w:p>
    <w:p>
      <w:pPr>
        <w:spacing w:before="0"/>
        <w:ind w:left="1701" w:right="1625" w:firstLine="0"/>
        <w:jc w:val="left"/>
        <w:rPr>
          <w:sz w:val="20"/>
        </w:rPr>
      </w:pPr>
      <w:bookmarkStart w:name="_bookmark0" w:id="3"/>
      <w:bookmarkEnd w:id="3"/>
      <w:r>
        <w:rPr/>
      </w:r>
      <w:bookmarkStart w:name="The amendments to the charges are contai" w:id="4"/>
      <w:bookmarkEnd w:id="4"/>
      <w:r>
        <w:rPr/>
      </w:r>
      <w:r>
        <w:rPr>
          <w:sz w:val="20"/>
        </w:rPr>
        <w:t>The amendments to the charges are contained in the </w:t>
      </w:r>
      <w:r>
        <w:rPr>
          <w:i/>
          <w:sz w:val="20"/>
        </w:rPr>
        <w:t>Import Processing Charges Amendment Act 2005 </w:t>
      </w:r>
      <w:r>
        <w:rPr>
          <w:sz w:val="20"/>
        </w:rPr>
        <w:t>and the </w:t>
      </w:r>
      <w:r>
        <w:rPr>
          <w:i/>
          <w:sz w:val="20"/>
        </w:rPr>
        <w:t>Customs Legislation Amendment (Import Processing Charges) Act 2005. </w:t>
      </w:r>
      <w:r>
        <w:rPr>
          <w:sz w:val="20"/>
        </w:rPr>
        <w:t>The revised charges, along with all other charges, are summarised in the table below.</w:t>
      </w:r>
    </w:p>
    <w:p>
      <w:pPr>
        <w:pStyle w:val="BodyText"/>
        <w:spacing w:before="2" w:after="1"/>
      </w:pPr>
    </w:p>
    <w:tbl>
      <w:tblPr>
        <w:tblW w:w="0" w:type="auto"/>
        <w:jc w:val="left"/>
        <w:tblInd w:w="152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420"/>
        <w:gridCol w:w="2880"/>
        <w:gridCol w:w="2700"/>
      </w:tblGrid>
      <w:tr>
        <w:trPr>
          <w:trHeight w:val="469" w:hRule="atLeast"/>
        </w:trPr>
        <w:tc>
          <w:tcPr>
            <w:tcW w:w="9000" w:type="dxa"/>
            <w:gridSpan w:val="3"/>
          </w:tcPr>
          <w:p>
            <w:pPr>
              <w:pStyle w:val="TableParagraph"/>
              <w:spacing w:before="119"/>
              <w:ind w:left="2499" w:right="2488"/>
              <w:jc w:val="center"/>
              <w:rPr>
                <w:b/>
                <w:sz w:val="20"/>
              </w:rPr>
            </w:pPr>
            <w:r>
              <w:rPr>
                <w:b/>
                <w:sz w:val="20"/>
              </w:rPr>
              <w:t>Schedule of CMR Cost Recovery Charges</w:t>
            </w:r>
          </w:p>
        </w:tc>
      </w:tr>
      <w:tr>
        <w:trPr>
          <w:trHeight w:val="231" w:hRule="atLeast"/>
        </w:trPr>
        <w:tc>
          <w:tcPr>
            <w:tcW w:w="3420" w:type="dxa"/>
            <w:shd w:val="clear" w:color="auto" w:fill="E5E5E5"/>
          </w:tcPr>
          <w:p>
            <w:pPr>
              <w:pStyle w:val="TableParagraph"/>
              <w:spacing w:line="211" w:lineRule="exact"/>
              <w:ind w:left="1481" w:right="1471"/>
              <w:jc w:val="center"/>
              <w:rPr>
                <w:b/>
                <w:sz w:val="20"/>
              </w:rPr>
            </w:pPr>
            <w:r>
              <w:rPr>
                <w:b/>
                <w:sz w:val="20"/>
              </w:rPr>
              <w:t>Item</w:t>
            </w:r>
          </w:p>
        </w:tc>
        <w:tc>
          <w:tcPr>
            <w:tcW w:w="2880" w:type="dxa"/>
            <w:shd w:val="clear" w:color="auto" w:fill="E5E5E5"/>
          </w:tcPr>
          <w:p>
            <w:pPr>
              <w:pStyle w:val="TableParagraph"/>
              <w:spacing w:line="211" w:lineRule="exact"/>
              <w:ind w:left="1017" w:right="1006"/>
              <w:jc w:val="center"/>
              <w:rPr>
                <w:b/>
                <w:sz w:val="20"/>
              </w:rPr>
            </w:pPr>
            <w:r>
              <w:rPr>
                <w:b/>
                <w:sz w:val="20"/>
              </w:rPr>
              <w:t>Charges</w:t>
            </w:r>
          </w:p>
        </w:tc>
        <w:tc>
          <w:tcPr>
            <w:tcW w:w="2700" w:type="dxa"/>
            <w:shd w:val="clear" w:color="auto" w:fill="E5E5E5"/>
          </w:tcPr>
          <w:p>
            <w:pPr>
              <w:pStyle w:val="TableParagraph"/>
              <w:spacing w:line="211" w:lineRule="exact"/>
              <w:ind w:left="963" w:right="948"/>
              <w:jc w:val="center"/>
              <w:rPr>
                <w:b/>
                <w:sz w:val="20"/>
              </w:rPr>
            </w:pPr>
            <w:r>
              <w:rPr>
                <w:b/>
                <w:sz w:val="20"/>
              </w:rPr>
              <w:t>Paid By</w:t>
            </w:r>
          </w:p>
        </w:tc>
      </w:tr>
      <w:tr>
        <w:trPr>
          <w:trHeight w:val="751" w:hRule="atLeast"/>
        </w:trPr>
        <w:tc>
          <w:tcPr>
            <w:tcW w:w="3420" w:type="dxa"/>
            <w:tcBorders>
              <w:bottom w:val="nil"/>
              <w:right w:val="nil"/>
            </w:tcBorders>
          </w:tcPr>
          <w:p>
            <w:pPr>
              <w:pStyle w:val="TableParagraph"/>
              <w:ind w:left="106" w:right="563"/>
              <w:rPr>
                <w:b/>
                <w:sz w:val="20"/>
              </w:rPr>
            </w:pPr>
            <w:bookmarkStart w:name="Electronic import (N10) and" w:id="5"/>
            <w:bookmarkEnd w:id="5"/>
            <w:r>
              <w:rPr/>
            </w:r>
            <w:r>
              <w:rPr>
                <w:b/>
                <w:sz w:val="20"/>
              </w:rPr>
              <w:t>Electronic import (N10) and</w:t>
            </w:r>
            <w:bookmarkStart w:name="warehouse (N20) declaration" w:id="6"/>
            <w:bookmarkEnd w:id="6"/>
            <w:r>
              <w:rPr>
                <w:b/>
                <w:sz w:val="20"/>
              </w:rPr>
            </w:r>
            <w:bookmarkStart w:name="charges" w:id="7"/>
            <w:bookmarkEnd w:id="7"/>
            <w:r>
              <w:rPr>
                <w:b/>
                <w:sz w:val="20"/>
              </w:rPr>
            </w:r>
            <w:r>
              <w:rPr>
                <w:b/>
                <w:sz w:val="20"/>
              </w:rPr>
              <w:t> warehouse (N20) declaration charges</w:t>
            </w:r>
          </w:p>
        </w:tc>
        <w:tc>
          <w:tcPr>
            <w:tcW w:w="2880" w:type="dxa"/>
            <w:tcBorders>
              <w:left w:val="nil"/>
              <w:bottom w:val="nil"/>
              <w:right w:val="nil"/>
            </w:tcBorders>
          </w:tcPr>
          <w:p>
            <w:pPr>
              <w:pStyle w:val="TableParagraph"/>
              <w:ind w:left="0"/>
              <w:rPr>
                <w:rFonts w:ascii="Times New Roman"/>
                <w:sz w:val="20"/>
              </w:rPr>
            </w:pPr>
          </w:p>
        </w:tc>
        <w:tc>
          <w:tcPr>
            <w:tcW w:w="2700" w:type="dxa"/>
            <w:tcBorders>
              <w:left w:val="nil"/>
              <w:bottom w:val="nil"/>
            </w:tcBorders>
          </w:tcPr>
          <w:p>
            <w:pPr>
              <w:pStyle w:val="TableParagraph"/>
              <w:ind w:left="0"/>
              <w:rPr>
                <w:rFonts w:ascii="Times New Roman"/>
                <w:sz w:val="20"/>
              </w:rPr>
            </w:pPr>
          </w:p>
        </w:tc>
      </w:tr>
      <w:tr>
        <w:trPr>
          <w:trHeight w:val="757" w:hRule="atLeast"/>
        </w:trPr>
        <w:tc>
          <w:tcPr>
            <w:tcW w:w="3420" w:type="dxa"/>
            <w:tcBorders>
              <w:top w:val="nil"/>
              <w:right w:val="nil"/>
            </w:tcBorders>
          </w:tcPr>
          <w:p>
            <w:pPr>
              <w:pStyle w:val="TableParagraph"/>
              <w:spacing w:before="56"/>
              <w:ind w:left="106"/>
              <w:rPr>
                <w:sz w:val="20"/>
              </w:rPr>
            </w:pPr>
            <w:r>
              <w:rPr>
                <w:sz w:val="20"/>
              </w:rPr>
              <w:t>Sea</w:t>
            </w:r>
          </w:p>
          <w:p>
            <w:pPr>
              <w:pStyle w:val="TableParagraph"/>
              <w:spacing w:before="120"/>
              <w:ind w:left="106"/>
              <w:rPr>
                <w:sz w:val="20"/>
              </w:rPr>
            </w:pPr>
            <w:r>
              <w:rPr>
                <w:sz w:val="20"/>
              </w:rPr>
              <w:t>Air and post</w:t>
            </w:r>
          </w:p>
        </w:tc>
        <w:tc>
          <w:tcPr>
            <w:tcW w:w="2880" w:type="dxa"/>
            <w:tcBorders>
              <w:top w:val="nil"/>
              <w:left w:val="nil"/>
              <w:right w:val="nil"/>
            </w:tcBorders>
          </w:tcPr>
          <w:p>
            <w:pPr>
              <w:pStyle w:val="TableParagraph"/>
              <w:spacing w:before="56"/>
              <w:rPr>
                <w:sz w:val="20"/>
              </w:rPr>
            </w:pPr>
            <w:r>
              <w:rPr>
                <w:sz w:val="20"/>
              </w:rPr>
              <w:t>$49.50 per</w:t>
            </w:r>
            <w:r>
              <w:rPr>
                <w:spacing w:val="-5"/>
                <w:sz w:val="20"/>
              </w:rPr>
              <w:t> </w:t>
            </w:r>
            <w:r>
              <w:rPr>
                <w:sz w:val="20"/>
              </w:rPr>
              <w:t>declaration</w:t>
            </w:r>
          </w:p>
          <w:p>
            <w:pPr>
              <w:pStyle w:val="TableParagraph"/>
              <w:spacing w:before="120"/>
              <w:rPr>
                <w:sz w:val="20"/>
              </w:rPr>
            </w:pPr>
            <w:r>
              <w:rPr>
                <w:sz w:val="20"/>
              </w:rPr>
              <w:t>$30.10 per</w:t>
            </w:r>
            <w:r>
              <w:rPr>
                <w:spacing w:val="-5"/>
                <w:sz w:val="20"/>
              </w:rPr>
              <w:t> </w:t>
            </w:r>
            <w:r>
              <w:rPr>
                <w:sz w:val="20"/>
              </w:rPr>
              <w:t>declaration</w:t>
            </w:r>
          </w:p>
        </w:tc>
        <w:tc>
          <w:tcPr>
            <w:tcW w:w="2700" w:type="dxa"/>
            <w:tcBorders>
              <w:top w:val="nil"/>
              <w:left w:val="nil"/>
            </w:tcBorders>
          </w:tcPr>
          <w:p>
            <w:pPr>
              <w:pStyle w:val="TableParagraph"/>
              <w:spacing w:before="56"/>
              <w:rPr>
                <w:sz w:val="20"/>
              </w:rPr>
            </w:pPr>
            <w:r>
              <w:rPr>
                <w:sz w:val="20"/>
              </w:rPr>
              <w:t>The owner, when the</w:t>
            </w:r>
          </w:p>
          <w:p>
            <w:pPr>
              <w:pStyle w:val="TableParagraph"/>
              <w:spacing w:line="230" w:lineRule="exact" w:before="4"/>
              <w:ind w:right="190"/>
              <w:rPr>
                <w:sz w:val="20"/>
              </w:rPr>
            </w:pPr>
            <w:r>
              <w:rPr>
                <w:sz w:val="20"/>
              </w:rPr>
              <w:t>declaration is communicated to Customs</w:t>
            </w:r>
          </w:p>
        </w:tc>
      </w:tr>
      <w:tr>
        <w:trPr>
          <w:trHeight w:val="752" w:hRule="atLeast"/>
        </w:trPr>
        <w:tc>
          <w:tcPr>
            <w:tcW w:w="3420" w:type="dxa"/>
            <w:tcBorders>
              <w:bottom w:val="nil"/>
              <w:right w:val="nil"/>
            </w:tcBorders>
          </w:tcPr>
          <w:p>
            <w:pPr>
              <w:pStyle w:val="TableParagraph"/>
              <w:ind w:left="106" w:right="363"/>
              <w:rPr>
                <w:b/>
                <w:sz w:val="20"/>
              </w:rPr>
            </w:pPr>
            <w:r>
              <w:rPr>
                <w:b/>
                <w:sz w:val="20"/>
              </w:rPr>
              <w:t>Documentary import (N10) and warehouse (N20) declaration charges</w:t>
            </w:r>
          </w:p>
        </w:tc>
        <w:tc>
          <w:tcPr>
            <w:tcW w:w="2880" w:type="dxa"/>
            <w:tcBorders>
              <w:left w:val="nil"/>
              <w:bottom w:val="nil"/>
              <w:right w:val="nil"/>
            </w:tcBorders>
          </w:tcPr>
          <w:p>
            <w:pPr>
              <w:pStyle w:val="TableParagraph"/>
              <w:ind w:left="0"/>
              <w:rPr>
                <w:rFonts w:ascii="Times New Roman"/>
                <w:sz w:val="20"/>
              </w:rPr>
            </w:pPr>
          </w:p>
        </w:tc>
        <w:tc>
          <w:tcPr>
            <w:tcW w:w="2700" w:type="dxa"/>
            <w:tcBorders>
              <w:left w:val="nil"/>
              <w:bottom w:val="nil"/>
            </w:tcBorders>
          </w:tcPr>
          <w:p>
            <w:pPr>
              <w:pStyle w:val="TableParagraph"/>
              <w:ind w:left="0"/>
              <w:rPr>
                <w:rFonts w:ascii="Times New Roman"/>
                <w:sz w:val="20"/>
              </w:rPr>
            </w:pPr>
          </w:p>
        </w:tc>
      </w:tr>
      <w:tr>
        <w:trPr>
          <w:trHeight w:val="757" w:hRule="atLeast"/>
        </w:trPr>
        <w:tc>
          <w:tcPr>
            <w:tcW w:w="3420" w:type="dxa"/>
            <w:tcBorders>
              <w:top w:val="nil"/>
              <w:right w:val="nil"/>
            </w:tcBorders>
          </w:tcPr>
          <w:p>
            <w:pPr>
              <w:pStyle w:val="TableParagraph"/>
              <w:spacing w:before="56"/>
              <w:ind w:left="106"/>
              <w:rPr>
                <w:sz w:val="20"/>
              </w:rPr>
            </w:pPr>
            <w:r>
              <w:rPr>
                <w:sz w:val="20"/>
              </w:rPr>
              <w:t>Sea</w:t>
            </w:r>
          </w:p>
          <w:p>
            <w:pPr>
              <w:pStyle w:val="TableParagraph"/>
              <w:spacing w:before="119"/>
              <w:ind w:left="106"/>
              <w:rPr>
                <w:sz w:val="20"/>
              </w:rPr>
            </w:pPr>
            <w:r>
              <w:rPr>
                <w:sz w:val="20"/>
              </w:rPr>
              <w:t>Air and post</w:t>
            </w:r>
          </w:p>
        </w:tc>
        <w:tc>
          <w:tcPr>
            <w:tcW w:w="2880" w:type="dxa"/>
            <w:tcBorders>
              <w:top w:val="nil"/>
              <w:left w:val="nil"/>
              <w:right w:val="nil"/>
            </w:tcBorders>
          </w:tcPr>
          <w:p>
            <w:pPr>
              <w:pStyle w:val="TableParagraph"/>
              <w:spacing w:before="56"/>
              <w:rPr>
                <w:sz w:val="20"/>
              </w:rPr>
            </w:pPr>
            <w:r>
              <w:rPr>
                <w:sz w:val="20"/>
              </w:rPr>
              <w:t>$65.75 per</w:t>
            </w:r>
            <w:r>
              <w:rPr>
                <w:spacing w:val="-5"/>
                <w:sz w:val="20"/>
              </w:rPr>
              <w:t> </w:t>
            </w:r>
            <w:r>
              <w:rPr>
                <w:sz w:val="20"/>
              </w:rPr>
              <w:t>declaration</w:t>
            </w:r>
          </w:p>
          <w:p>
            <w:pPr>
              <w:pStyle w:val="TableParagraph"/>
              <w:spacing w:before="119"/>
              <w:rPr>
                <w:sz w:val="20"/>
              </w:rPr>
            </w:pPr>
            <w:r>
              <w:rPr>
                <w:sz w:val="20"/>
              </w:rPr>
              <w:t>$48.85 per</w:t>
            </w:r>
            <w:r>
              <w:rPr>
                <w:spacing w:val="-5"/>
                <w:sz w:val="20"/>
              </w:rPr>
              <w:t> </w:t>
            </w:r>
            <w:r>
              <w:rPr>
                <w:sz w:val="20"/>
              </w:rPr>
              <w:t>declaration</w:t>
            </w:r>
          </w:p>
        </w:tc>
        <w:tc>
          <w:tcPr>
            <w:tcW w:w="2700" w:type="dxa"/>
            <w:tcBorders>
              <w:top w:val="nil"/>
              <w:left w:val="nil"/>
            </w:tcBorders>
          </w:tcPr>
          <w:p>
            <w:pPr>
              <w:pStyle w:val="TableParagraph"/>
              <w:spacing w:before="56"/>
              <w:ind w:right="690"/>
              <w:rPr>
                <w:sz w:val="20"/>
              </w:rPr>
            </w:pPr>
            <w:r>
              <w:rPr>
                <w:sz w:val="20"/>
              </w:rPr>
              <w:t>The owner, when the declaration is</w:t>
            </w:r>
          </w:p>
          <w:p>
            <w:pPr>
              <w:pStyle w:val="TableParagraph"/>
              <w:spacing w:line="222" w:lineRule="exact"/>
              <w:rPr>
                <w:sz w:val="20"/>
              </w:rPr>
            </w:pPr>
            <w:r>
              <w:rPr>
                <w:sz w:val="20"/>
              </w:rPr>
              <w:t>communicated to Customs</w:t>
            </w:r>
          </w:p>
        </w:tc>
      </w:tr>
      <w:tr>
        <w:trPr>
          <w:trHeight w:val="460" w:hRule="atLeast"/>
        </w:trPr>
        <w:tc>
          <w:tcPr>
            <w:tcW w:w="3420" w:type="dxa"/>
            <w:tcBorders>
              <w:right w:val="nil"/>
            </w:tcBorders>
          </w:tcPr>
          <w:p>
            <w:pPr>
              <w:pStyle w:val="TableParagraph"/>
              <w:spacing w:line="230" w:lineRule="exact" w:before="3"/>
              <w:ind w:left="106" w:right="252"/>
              <w:rPr>
                <w:b/>
                <w:sz w:val="20"/>
              </w:rPr>
            </w:pPr>
            <w:bookmarkStart w:name="Periodic declaration processing charge" w:id="8"/>
            <w:bookmarkEnd w:id="8"/>
            <w:r>
              <w:rPr/>
            </w:r>
            <w:bookmarkStart w:name="$1,275 per declaration" w:id="9"/>
            <w:bookmarkEnd w:id="9"/>
            <w:r>
              <w:rPr/>
            </w:r>
            <w:bookmarkStart w:name="The owner, as above" w:id="10"/>
            <w:bookmarkEnd w:id="10"/>
            <w:r>
              <w:rPr/>
            </w:r>
            <w:r>
              <w:rPr>
                <w:b/>
                <w:sz w:val="20"/>
              </w:rPr>
              <w:t>Periodic declaration processing charge</w:t>
            </w:r>
          </w:p>
        </w:tc>
        <w:tc>
          <w:tcPr>
            <w:tcW w:w="2880" w:type="dxa"/>
            <w:tcBorders>
              <w:left w:val="nil"/>
              <w:right w:val="nil"/>
            </w:tcBorders>
          </w:tcPr>
          <w:p>
            <w:pPr>
              <w:pStyle w:val="TableParagraph"/>
              <w:spacing w:before="112"/>
              <w:rPr>
                <w:sz w:val="20"/>
              </w:rPr>
            </w:pPr>
            <w:r>
              <w:rPr>
                <w:sz w:val="20"/>
              </w:rPr>
              <w:t>$1,275 per declaration</w:t>
            </w:r>
          </w:p>
        </w:tc>
        <w:tc>
          <w:tcPr>
            <w:tcW w:w="2700" w:type="dxa"/>
            <w:tcBorders>
              <w:left w:val="nil"/>
            </w:tcBorders>
          </w:tcPr>
          <w:p>
            <w:pPr>
              <w:pStyle w:val="TableParagraph"/>
              <w:spacing w:before="112"/>
              <w:ind w:left="113"/>
              <w:rPr>
                <w:sz w:val="20"/>
              </w:rPr>
            </w:pPr>
            <w:r>
              <w:rPr>
                <w:sz w:val="20"/>
              </w:rPr>
              <w:t>The owner, as above</w:t>
            </w:r>
          </w:p>
        </w:tc>
      </w:tr>
      <w:tr>
        <w:trPr>
          <w:trHeight w:val="457" w:hRule="atLeast"/>
        </w:trPr>
        <w:tc>
          <w:tcPr>
            <w:tcW w:w="3420" w:type="dxa"/>
            <w:tcBorders>
              <w:right w:val="nil"/>
            </w:tcBorders>
          </w:tcPr>
          <w:p>
            <w:pPr>
              <w:pStyle w:val="TableParagraph"/>
              <w:spacing w:line="230" w:lineRule="exact"/>
              <w:ind w:left="106" w:right="207"/>
              <w:rPr>
                <w:b/>
                <w:sz w:val="20"/>
              </w:rPr>
            </w:pPr>
            <w:r>
              <w:rPr>
                <w:b/>
                <w:sz w:val="20"/>
              </w:rPr>
              <w:t>Request for cargo release (RCR) processing charge</w:t>
            </w:r>
          </w:p>
        </w:tc>
        <w:tc>
          <w:tcPr>
            <w:tcW w:w="2880" w:type="dxa"/>
            <w:tcBorders>
              <w:left w:val="nil"/>
              <w:right w:val="nil"/>
            </w:tcBorders>
          </w:tcPr>
          <w:p>
            <w:pPr>
              <w:pStyle w:val="TableParagraph"/>
              <w:spacing w:before="109"/>
              <w:rPr>
                <w:sz w:val="20"/>
              </w:rPr>
            </w:pPr>
            <w:r>
              <w:rPr>
                <w:sz w:val="20"/>
              </w:rPr>
              <w:t>$9.40 per RCR</w:t>
            </w:r>
          </w:p>
        </w:tc>
        <w:tc>
          <w:tcPr>
            <w:tcW w:w="2700" w:type="dxa"/>
            <w:tcBorders>
              <w:left w:val="nil"/>
            </w:tcBorders>
          </w:tcPr>
          <w:p>
            <w:pPr>
              <w:pStyle w:val="TableParagraph"/>
              <w:spacing w:before="109"/>
              <w:rPr>
                <w:sz w:val="20"/>
              </w:rPr>
            </w:pPr>
            <w:r>
              <w:rPr>
                <w:sz w:val="20"/>
              </w:rPr>
              <w:t>The owner</w:t>
            </w:r>
          </w:p>
        </w:tc>
      </w:tr>
      <w:tr>
        <w:trPr>
          <w:trHeight w:val="346" w:hRule="atLeast"/>
        </w:trPr>
        <w:tc>
          <w:tcPr>
            <w:tcW w:w="3420" w:type="dxa"/>
            <w:tcBorders>
              <w:right w:val="nil"/>
            </w:tcBorders>
          </w:tcPr>
          <w:p>
            <w:pPr>
              <w:pStyle w:val="TableParagraph"/>
              <w:spacing w:line="227" w:lineRule="exact"/>
              <w:ind w:left="106"/>
              <w:rPr>
                <w:b/>
                <w:sz w:val="20"/>
              </w:rPr>
            </w:pPr>
            <w:r>
              <w:rPr>
                <w:b/>
                <w:sz w:val="20"/>
              </w:rPr>
              <w:t>Depot licence application charge</w:t>
            </w:r>
          </w:p>
        </w:tc>
        <w:tc>
          <w:tcPr>
            <w:tcW w:w="2880" w:type="dxa"/>
            <w:tcBorders>
              <w:left w:val="nil"/>
              <w:right w:val="nil"/>
            </w:tcBorders>
          </w:tcPr>
          <w:p>
            <w:pPr>
              <w:pStyle w:val="TableParagraph"/>
              <w:spacing w:line="225" w:lineRule="exact"/>
              <w:rPr>
                <w:sz w:val="20"/>
              </w:rPr>
            </w:pPr>
            <w:r>
              <w:rPr>
                <w:sz w:val="20"/>
              </w:rPr>
              <w:t>$3,000 per application</w:t>
            </w:r>
          </w:p>
        </w:tc>
        <w:tc>
          <w:tcPr>
            <w:tcW w:w="2700" w:type="dxa"/>
            <w:tcBorders>
              <w:left w:val="nil"/>
            </w:tcBorders>
          </w:tcPr>
          <w:p>
            <w:pPr>
              <w:pStyle w:val="TableParagraph"/>
              <w:spacing w:line="225" w:lineRule="exact"/>
              <w:ind w:left="115"/>
              <w:rPr>
                <w:sz w:val="20"/>
              </w:rPr>
            </w:pPr>
            <w:r>
              <w:rPr>
                <w:sz w:val="20"/>
              </w:rPr>
              <w:t>New applicants</w:t>
            </w:r>
          </w:p>
        </w:tc>
      </w:tr>
      <w:tr>
        <w:trPr>
          <w:trHeight w:val="690" w:hRule="atLeast"/>
        </w:trPr>
        <w:tc>
          <w:tcPr>
            <w:tcW w:w="3420" w:type="dxa"/>
            <w:tcBorders>
              <w:bottom w:val="nil"/>
              <w:right w:val="nil"/>
            </w:tcBorders>
          </w:tcPr>
          <w:p>
            <w:pPr>
              <w:pStyle w:val="TableParagraph"/>
              <w:ind w:left="106" w:right="396"/>
              <w:rPr>
                <w:b/>
                <w:sz w:val="20"/>
              </w:rPr>
            </w:pPr>
            <w:r>
              <w:rPr>
                <w:b/>
                <w:sz w:val="20"/>
              </w:rPr>
              <w:t>Depot licence charge (grant or renewal)</w:t>
            </w:r>
          </w:p>
        </w:tc>
        <w:tc>
          <w:tcPr>
            <w:tcW w:w="2880" w:type="dxa"/>
            <w:tcBorders>
              <w:left w:val="nil"/>
              <w:bottom w:val="nil"/>
              <w:right w:val="nil"/>
            </w:tcBorders>
          </w:tcPr>
          <w:p>
            <w:pPr>
              <w:pStyle w:val="TableParagraph"/>
              <w:ind w:right="199"/>
              <w:rPr>
                <w:sz w:val="20"/>
              </w:rPr>
            </w:pPr>
            <w:r>
              <w:rPr>
                <w:sz w:val="20"/>
              </w:rPr>
              <w:t>$1,500 annual fee for depots with less than 300</w:t>
            </w:r>
          </w:p>
          <w:p>
            <w:pPr>
              <w:pStyle w:val="TableParagraph"/>
              <w:spacing w:line="212" w:lineRule="exact"/>
              <w:rPr>
                <w:sz w:val="20"/>
              </w:rPr>
            </w:pPr>
            <w:r>
              <w:rPr>
                <w:sz w:val="20"/>
              </w:rPr>
              <w:t>transactions per annum.</w:t>
            </w:r>
          </w:p>
        </w:tc>
        <w:tc>
          <w:tcPr>
            <w:tcW w:w="2700" w:type="dxa"/>
            <w:tcBorders>
              <w:left w:val="nil"/>
              <w:bottom w:val="nil"/>
            </w:tcBorders>
          </w:tcPr>
          <w:p>
            <w:pPr>
              <w:pStyle w:val="TableParagraph"/>
              <w:ind w:right="268"/>
              <w:rPr>
                <w:sz w:val="20"/>
              </w:rPr>
            </w:pPr>
            <w:r>
              <w:rPr>
                <w:sz w:val="20"/>
              </w:rPr>
              <w:t>Depots with less than 300 transactions p.a.</w:t>
            </w:r>
          </w:p>
        </w:tc>
      </w:tr>
      <w:tr>
        <w:trPr>
          <w:trHeight w:val="459" w:hRule="atLeast"/>
        </w:trPr>
        <w:tc>
          <w:tcPr>
            <w:tcW w:w="3420" w:type="dxa"/>
            <w:tcBorders>
              <w:top w:val="nil"/>
              <w:right w:val="nil"/>
            </w:tcBorders>
          </w:tcPr>
          <w:p>
            <w:pPr>
              <w:pStyle w:val="TableParagraph"/>
              <w:ind w:left="0"/>
              <w:rPr>
                <w:rFonts w:ascii="Times New Roman"/>
                <w:sz w:val="20"/>
              </w:rPr>
            </w:pPr>
          </w:p>
        </w:tc>
        <w:tc>
          <w:tcPr>
            <w:tcW w:w="2880" w:type="dxa"/>
            <w:tcBorders>
              <w:top w:val="nil"/>
              <w:left w:val="nil"/>
              <w:right w:val="nil"/>
            </w:tcBorders>
          </w:tcPr>
          <w:p>
            <w:pPr>
              <w:pStyle w:val="TableParagraph"/>
              <w:spacing w:line="226" w:lineRule="exact"/>
              <w:rPr>
                <w:sz w:val="20"/>
              </w:rPr>
            </w:pPr>
            <w:r>
              <w:rPr>
                <w:sz w:val="20"/>
              </w:rPr>
              <w:t>$4,000 annual fee for all other</w:t>
            </w:r>
          </w:p>
          <w:p>
            <w:pPr>
              <w:pStyle w:val="TableParagraph"/>
              <w:spacing w:line="213" w:lineRule="exact"/>
              <w:rPr>
                <w:sz w:val="20"/>
              </w:rPr>
            </w:pPr>
            <w:r>
              <w:rPr>
                <w:sz w:val="20"/>
              </w:rPr>
              <w:t>depots</w:t>
            </w:r>
          </w:p>
        </w:tc>
        <w:tc>
          <w:tcPr>
            <w:tcW w:w="2700" w:type="dxa"/>
            <w:tcBorders>
              <w:top w:val="nil"/>
              <w:left w:val="nil"/>
            </w:tcBorders>
          </w:tcPr>
          <w:p>
            <w:pPr>
              <w:pStyle w:val="TableParagraph"/>
              <w:spacing w:line="226" w:lineRule="exact"/>
              <w:rPr>
                <w:sz w:val="20"/>
              </w:rPr>
            </w:pPr>
            <w:r>
              <w:rPr>
                <w:sz w:val="20"/>
              </w:rPr>
              <w:t>All other depots</w:t>
            </w:r>
          </w:p>
        </w:tc>
      </w:tr>
      <w:tr>
        <w:trPr>
          <w:trHeight w:val="459" w:hRule="atLeast"/>
        </w:trPr>
        <w:tc>
          <w:tcPr>
            <w:tcW w:w="3420" w:type="dxa"/>
            <w:tcBorders>
              <w:right w:val="nil"/>
            </w:tcBorders>
          </w:tcPr>
          <w:p>
            <w:pPr>
              <w:pStyle w:val="TableParagraph"/>
              <w:spacing w:line="229" w:lineRule="exact"/>
              <w:ind w:left="106"/>
              <w:rPr>
                <w:b/>
                <w:sz w:val="20"/>
              </w:rPr>
            </w:pPr>
            <w:r>
              <w:rPr>
                <w:b/>
                <w:sz w:val="20"/>
              </w:rPr>
              <w:t>Depot licence variation charge</w:t>
            </w:r>
          </w:p>
        </w:tc>
        <w:tc>
          <w:tcPr>
            <w:tcW w:w="2880" w:type="dxa"/>
            <w:tcBorders>
              <w:left w:val="nil"/>
              <w:right w:val="nil"/>
            </w:tcBorders>
          </w:tcPr>
          <w:p>
            <w:pPr>
              <w:pStyle w:val="TableParagraph"/>
              <w:spacing w:line="230" w:lineRule="exact" w:before="1"/>
              <w:ind w:right="255"/>
              <w:rPr>
                <w:sz w:val="20"/>
              </w:rPr>
            </w:pPr>
            <w:r>
              <w:rPr>
                <w:sz w:val="20"/>
              </w:rPr>
              <w:t>$300 depot licence variation charge</w:t>
            </w:r>
          </w:p>
        </w:tc>
        <w:tc>
          <w:tcPr>
            <w:tcW w:w="2700" w:type="dxa"/>
            <w:tcBorders>
              <w:left w:val="nil"/>
            </w:tcBorders>
          </w:tcPr>
          <w:p>
            <w:pPr>
              <w:pStyle w:val="TableParagraph"/>
              <w:spacing w:line="228" w:lineRule="exact"/>
              <w:rPr>
                <w:sz w:val="20"/>
              </w:rPr>
            </w:pPr>
            <w:r>
              <w:rPr>
                <w:sz w:val="20"/>
              </w:rPr>
              <w:t>All depots</w:t>
            </w:r>
          </w:p>
        </w:tc>
      </w:tr>
      <w:tr>
        <w:trPr>
          <w:trHeight w:val="462" w:hRule="atLeast"/>
        </w:trPr>
        <w:tc>
          <w:tcPr>
            <w:tcW w:w="3420" w:type="dxa"/>
            <w:tcBorders>
              <w:bottom w:val="nil"/>
              <w:right w:val="nil"/>
            </w:tcBorders>
          </w:tcPr>
          <w:p>
            <w:pPr>
              <w:pStyle w:val="TableParagraph"/>
              <w:spacing w:line="230" w:lineRule="exact" w:before="1"/>
              <w:ind w:left="106" w:right="575"/>
              <w:rPr>
                <w:b/>
                <w:sz w:val="20"/>
              </w:rPr>
            </w:pPr>
            <w:r>
              <w:rPr>
                <w:b/>
                <w:sz w:val="20"/>
              </w:rPr>
              <w:t>Fee for import declaration of warehoused goods (N30)</w:t>
            </w:r>
          </w:p>
        </w:tc>
        <w:tc>
          <w:tcPr>
            <w:tcW w:w="2880" w:type="dxa"/>
            <w:tcBorders>
              <w:left w:val="nil"/>
              <w:bottom w:val="nil"/>
              <w:right w:val="nil"/>
            </w:tcBorders>
          </w:tcPr>
          <w:p>
            <w:pPr>
              <w:pStyle w:val="TableParagraph"/>
              <w:ind w:left="0"/>
              <w:rPr>
                <w:rFonts w:ascii="Times New Roman"/>
                <w:sz w:val="20"/>
              </w:rPr>
            </w:pPr>
          </w:p>
        </w:tc>
        <w:tc>
          <w:tcPr>
            <w:tcW w:w="2700" w:type="dxa"/>
            <w:tcBorders>
              <w:left w:val="nil"/>
              <w:bottom w:val="nil"/>
            </w:tcBorders>
          </w:tcPr>
          <w:p>
            <w:pPr>
              <w:pStyle w:val="TableParagraph"/>
              <w:ind w:left="0"/>
              <w:rPr>
                <w:rFonts w:ascii="Times New Roman"/>
                <w:sz w:val="20"/>
              </w:rPr>
            </w:pPr>
          </w:p>
        </w:tc>
      </w:tr>
      <w:tr>
        <w:trPr>
          <w:trHeight w:val="696" w:hRule="atLeast"/>
        </w:trPr>
        <w:tc>
          <w:tcPr>
            <w:tcW w:w="3420" w:type="dxa"/>
            <w:tcBorders>
              <w:top w:val="nil"/>
              <w:right w:val="nil"/>
            </w:tcBorders>
          </w:tcPr>
          <w:p>
            <w:pPr>
              <w:pStyle w:val="TableParagraph"/>
              <w:spacing w:line="350" w:lineRule="exact" w:before="21"/>
              <w:ind w:left="106" w:right="2097"/>
              <w:rPr>
                <w:sz w:val="20"/>
              </w:rPr>
            </w:pPr>
            <w:r>
              <w:rPr>
                <w:sz w:val="20"/>
              </w:rPr>
              <w:t>Electronic Documentary</w:t>
            </w:r>
          </w:p>
        </w:tc>
        <w:tc>
          <w:tcPr>
            <w:tcW w:w="2880" w:type="dxa"/>
            <w:tcBorders>
              <w:top w:val="nil"/>
              <w:left w:val="nil"/>
              <w:right w:val="nil"/>
            </w:tcBorders>
          </w:tcPr>
          <w:p>
            <w:pPr>
              <w:pStyle w:val="TableParagraph"/>
              <w:spacing w:before="113"/>
              <w:rPr>
                <w:sz w:val="20"/>
              </w:rPr>
            </w:pPr>
            <w:r>
              <w:rPr>
                <w:sz w:val="20"/>
              </w:rPr>
              <w:t>$23.20 per declaration</w:t>
            </w:r>
          </w:p>
          <w:p>
            <w:pPr>
              <w:pStyle w:val="TableParagraph"/>
              <w:spacing w:line="213" w:lineRule="exact" w:before="121"/>
              <w:rPr>
                <w:sz w:val="20"/>
              </w:rPr>
            </w:pPr>
            <w:r>
              <w:rPr>
                <w:sz w:val="20"/>
              </w:rPr>
              <w:t>$60 per declaration</w:t>
            </w:r>
          </w:p>
        </w:tc>
        <w:tc>
          <w:tcPr>
            <w:tcW w:w="2700" w:type="dxa"/>
            <w:tcBorders>
              <w:top w:val="nil"/>
              <w:left w:val="nil"/>
            </w:tcBorders>
          </w:tcPr>
          <w:p>
            <w:pPr>
              <w:pStyle w:val="TableParagraph"/>
              <w:spacing w:line="228" w:lineRule="exact"/>
              <w:rPr>
                <w:sz w:val="20"/>
              </w:rPr>
            </w:pPr>
            <w:r>
              <w:rPr>
                <w:sz w:val="20"/>
              </w:rPr>
              <w:t>The owner, when the</w:t>
            </w:r>
          </w:p>
          <w:p>
            <w:pPr>
              <w:pStyle w:val="TableParagraph"/>
              <w:spacing w:line="230" w:lineRule="exact" w:before="4"/>
              <w:ind w:right="190"/>
              <w:rPr>
                <w:sz w:val="20"/>
              </w:rPr>
            </w:pPr>
            <w:r>
              <w:rPr>
                <w:sz w:val="20"/>
              </w:rPr>
              <w:t>declaration is communicated to Customs</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pPr>
      <w:r>
        <w:rPr/>
        <w:drawing>
          <wp:anchor distT="0" distB="0" distL="0" distR="0" allowOverlap="1" layoutInCell="1" locked="0" behindDoc="0" simplePos="0" relativeHeight="1">
            <wp:simplePos x="0" y="0"/>
            <wp:positionH relativeFrom="page">
              <wp:posOffset>5557265</wp:posOffset>
            </wp:positionH>
            <wp:positionV relativeFrom="paragraph">
              <wp:posOffset>174568</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sectPr>
          <w:type w:val="continuous"/>
          <w:pgSz w:w="11900" w:h="16840"/>
          <w:pgMar w:top="860" w:bottom="280" w:left="0" w:right="0"/>
        </w:sectPr>
      </w:pPr>
    </w:p>
    <w:p>
      <w:pPr>
        <w:pStyle w:val="BodyText"/>
        <w:spacing w:before="1"/>
        <w:rPr>
          <w:sz w:val="6"/>
        </w:rPr>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3327"/>
        <w:gridCol w:w="2925"/>
      </w:tblGrid>
      <w:tr>
        <w:trPr>
          <w:trHeight w:val="520" w:hRule="atLeast"/>
        </w:trPr>
        <w:tc>
          <w:tcPr>
            <w:tcW w:w="2748" w:type="dxa"/>
            <w:tcBorders>
              <w:top w:val="single" w:sz="6" w:space="0" w:color="808080"/>
              <w:left w:val="single" w:sz="6" w:space="0" w:color="808080"/>
            </w:tcBorders>
          </w:tcPr>
          <w:p>
            <w:pPr>
              <w:pStyle w:val="TableParagraph"/>
              <w:ind w:left="106" w:right="392"/>
              <w:rPr>
                <w:b/>
                <w:sz w:val="20"/>
              </w:rPr>
            </w:pPr>
            <w:r>
              <w:rPr>
                <w:b/>
                <w:sz w:val="20"/>
              </w:rPr>
              <w:t>Manual cargo reporting charges</w:t>
            </w:r>
          </w:p>
        </w:tc>
        <w:tc>
          <w:tcPr>
            <w:tcW w:w="6252" w:type="dxa"/>
            <w:gridSpan w:val="2"/>
            <w:tcBorders>
              <w:top w:val="single" w:sz="6" w:space="0" w:color="808080"/>
              <w:right w:val="single" w:sz="6" w:space="0" w:color="808080"/>
            </w:tcBorders>
          </w:tcPr>
          <w:p>
            <w:pPr>
              <w:pStyle w:val="TableParagraph"/>
              <w:ind w:left="425" w:right="227"/>
              <w:rPr>
                <w:i/>
                <w:sz w:val="16"/>
              </w:rPr>
            </w:pPr>
            <w:r>
              <w:rPr>
                <w:i/>
                <w:sz w:val="16"/>
              </w:rPr>
              <w:t>(to be discontinued after statutory moratorium on mandatory electronic reporting of cargo reports under section 64AB of the Customs Act 1901)</w:t>
            </w:r>
          </w:p>
        </w:tc>
      </w:tr>
      <w:tr>
        <w:trPr>
          <w:trHeight w:val="869" w:hRule="atLeast"/>
        </w:trPr>
        <w:tc>
          <w:tcPr>
            <w:tcW w:w="2748" w:type="dxa"/>
            <w:tcBorders>
              <w:left w:val="single" w:sz="6" w:space="0" w:color="808080"/>
              <w:bottom w:val="single" w:sz="6" w:space="0" w:color="808080"/>
            </w:tcBorders>
          </w:tcPr>
          <w:p>
            <w:pPr>
              <w:pStyle w:val="TableParagraph"/>
              <w:spacing w:line="364" w:lineRule="auto" w:before="56"/>
              <w:ind w:left="106" w:right="2258"/>
              <w:rPr>
                <w:sz w:val="20"/>
              </w:rPr>
            </w:pPr>
            <w:r>
              <w:rPr>
                <w:sz w:val="20"/>
              </w:rPr>
              <w:t>Sea Air</w:t>
            </w:r>
          </w:p>
        </w:tc>
        <w:tc>
          <w:tcPr>
            <w:tcW w:w="3327" w:type="dxa"/>
            <w:tcBorders>
              <w:bottom w:val="single" w:sz="6" w:space="0" w:color="808080"/>
            </w:tcBorders>
          </w:tcPr>
          <w:p>
            <w:pPr>
              <w:pStyle w:val="TableParagraph"/>
              <w:spacing w:before="56"/>
              <w:ind w:left="426"/>
              <w:rPr>
                <w:sz w:val="20"/>
              </w:rPr>
            </w:pPr>
            <w:r>
              <w:rPr>
                <w:sz w:val="20"/>
              </w:rPr>
              <w:t>$2.60 per manifest line</w:t>
            </w:r>
          </w:p>
          <w:p>
            <w:pPr>
              <w:pStyle w:val="TableParagraph"/>
              <w:spacing w:line="230" w:lineRule="atLeast" w:before="120"/>
              <w:ind w:left="426" w:right="123"/>
              <w:rPr>
                <w:sz w:val="20"/>
              </w:rPr>
            </w:pPr>
            <w:r>
              <w:rPr>
                <w:sz w:val="20"/>
              </w:rPr>
              <w:t>$3.00 per house or straight line airway bill</w:t>
            </w:r>
          </w:p>
        </w:tc>
        <w:tc>
          <w:tcPr>
            <w:tcW w:w="2925" w:type="dxa"/>
            <w:tcBorders>
              <w:bottom w:val="single" w:sz="6" w:space="0" w:color="808080"/>
              <w:right w:val="single" w:sz="6" w:space="0" w:color="808080"/>
            </w:tcBorders>
          </w:tcPr>
          <w:p>
            <w:pPr>
              <w:pStyle w:val="TableParagraph"/>
              <w:spacing w:before="171"/>
              <w:ind w:left="159" w:right="748"/>
              <w:rPr>
                <w:sz w:val="20"/>
              </w:rPr>
            </w:pPr>
            <w:r>
              <w:rPr>
                <w:sz w:val="20"/>
              </w:rPr>
              <w:t>The cargo reporter, on reporting</w:t>
            </w:r>
          </w:p>
        </w:tc>
      </w:tr>
    </w:tbl>
    <w:p>
      <w:pPr>
        <w:pStyle w:val="BodyText"/>
        <w:spacing w:before="7"/>
        <w:rPr>
          <w:sz w:val="11"/>
        </w:rPr>
      </w:pPr>
    </w:p>
    <w:p>
      <w:pPr>
        <w:pStyle w:val="BodyText"/>
        <w:spacing w:before="94"/>
        <w:ind w:left="1701" w:right="2252"/>
      </w:pPr>
      <w:r>
        <w:rPr/>
        <w:t>The above schedule of charges will apply to transactions processed through the Integrated Cargo System. In line with transitional arrangements, the charges under the </w:t>
      </w:r>
      <w:r>
        <w:rPr>
          <w:i/>
        </w:rPr>
        <w:t>Import Processing Charges Act 1997 </w:t>
      </w:r>
      <w:r>
        <w:rPr/>
        <w:t>continue to apply to transactions made in the legacy systems, being COMPILE, Air Cargo Automation and Sea Cargo Automation.</w:t>
      </w:r>
    </w:p>
    <w:p>
      <w:pPr>
        <w:pStyle w:val="BodyText"/>
      </w:pPr>
    </w:p>
    <w:p>
      <w:pPr>
        <w:pStyle w:val="BodyText"/>
        <w:ind w:left="1701" w:right="2817"/>
      </w:pPr>
      <w:r>
        <w:rPr/>
        <w:t>Enquiries concerning this notice may be directed to Director Revenue and Budgets, Financial Services Division on telephone number (02) 6275 6382 or fax number (02) 6275 6330.</w:t>
      </w:r>
    </w:p>
    <w:p>
      <w:pPr>
        <w:pStyle w:val="BodyText"/>
        <w:rPr>
          <w:sz w:val="22"/>
        </w:rPr>
      </w:pPr>
    </w:p>
    <w:p>
      <w:pPr>
        <w:pStyle w:val="BodyText"/>
        <w:rPr>
          <w:sz w:val="22"/>
        </w:rPr>
      </w:pPr>
    </w:p>
    <w:p>
      <w:pPr>
        <w:pStyle w:val="BodyText"/>
        <w:rPr>
          <w:sz w:val="22"/>
        </w:rPr>
      </w:pPr>
    </w:p>
    <w:p>
      <w:pPr>
        <w:pStyle w:val="BodyText"/>
        <w:spacing w:before="160"/>
        <w:ind w:left="1701" w:right="8226"/>
      </w:pPr>
      <w:r>
        <w:rPr/>
        <w:t>Jon Brocklehurst Chief Financial Officer CANBERRA</w:t>
      </w:r>
      <w:r>
        <w:rPr>
          <w:spacing w:val="51"/>
        </w:rPr>
        <w:t> </w:t>
      </w:r>
      <w:r>
        <w:rPr/>
        <w:t>ACT</w:t>
      </w:r>
    </w:p>
    <w:p>
      <w:pPr>
        <w:pStyle w:val="BodyText"/>
        <w:ind w:left="1922"/>
      </w:pPr>
      <w:r>
        <w:rPr/>
        <w:t>July 2005</w:t>
      </w:r>
    </w:p>
    <w:sectPr>
      <w:pgSz w:w="1190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2"/>
      <w:ind w:left="2884"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1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Cost Recovery Charges under CMR</dc:subject>
  <dc:title>AUSTRALIAN CUSTOMS NOTICE NO. 2005/36</dc:title>
  <dcterms:created xsi:type="dcterms:W3CDTF">2020-12-09T22:56:57Z</dcterms:created>
  <dcterms:modified xsi:type="dcterms:W3CDTF">2020-12-09T22:56:57Z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2005-08-01T00:00:00Z</vt:filetime>
  </property>
  <property fmtid="{D5CDD505-2E9C-101B-9397-08002B2CF9AE}" pid="3" name="Creator">
    <vt:lpwstr>Acrobat PDFMaker 5.0 for Word</vt:lpwstr>
  </property>
  <property fmtid="{D5CDD505-2E9C-101B-9397-08002B2CF9AE}" pid="4" name="LastSaved">
    <vt:filetime>2020-12-09T00:00:00Z</vt:filetime>
  </property>
</Properties>
</file>