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after="1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380</wp:posOffset>
            </wp:positionH>
            <wp:positionV relativeFrom="paragraph">
              <wp:posOffset>-1161899</wp:posOffset>
            </wp:positionV>
            <wp:extent cx="7556119" cy="92734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119" cy="92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5/45" w:id="1"/>
      <w:bookmarkEnd w:id="1"/>
      <w:r>
        <w:rPr>
          <w:b w:val="0"/>
        </w:rPr>
      </w:r>
      <w:r>
        <w:rPr/>
        <w:t>AUSTRALIAN CUSTOMS NOTICE NO. 2005/45</w:t>
      </w:r>
    </w:p>
    <w:p>
      <w:pPr>
        <w:pStyle w:val="BodyText"/>
        <w:spacing w:line="20" w:lineRule="exact"/>
        <w:ind w:left="1671"/>
        <w:rPr>
          <w:sz w:val="2"/>
        </w:rPr>
      </w:pPr>
      <w:r>
        <w:rPr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Title"/>
        <w:spacing w:before="233"/>
        <w:ind w:left="1900"/>
      </w:pPr>
      <w:bookmarkStart w:name="Alteration of the import cut-over time a" w:id="2"/>
      <w:bookmarkEnd w:id="2"/>
      <w:r>
        <w:rPr>
          <w:b w:val="0"/>
        </w:rPr>
      </w:r>
      <w:r>
        <w:rPr/>
        <w:t>Alteration of the import cut-over time and International Trade Modernisation (ITM) import related regulation changes</w:t>
      </w:r>
    </w:p>
    <w:p>
      <w:pPr>
        <w:pStyle w:val="BodyText"/>
        <w:rPr>
          <w:b/>
          <w:sz w:val="25"/>
        </w:rPr>
      </w:pPr>
    </w:p>
    <w:p>
      <w:pPr>
        <w:spacing w:before="0"/>
        <w:ind w:left="1701" w:right="1831" w:firstLine="0"/>
        <w:jc w:val="left"/>
        <w:rPr>
          <w:sz w:val="20"/>
        </w:rPr>
      </w:pPr>
      <w:r>
        <w:rPr>
          <w:sz w:val="20"/>
        </w:rPr>
        <w:t>The </w:t>
      </w:r>
      <w:r>
        <w:rPr>
          <w:i/>
          <w:sz w:val="20"/>
        </w:rPr>
        <w:t>Customs Amendment (Extension of Import Cut-over Time) Act 2005 </w:t>
      </w:r>
      <w:r>
        <w:rPr>
          <w:sz w:val="20"/>
        </w:rPr>
        <w:t>(the Amendment Act) received the Royal Assent on 24 August 2005 as Act No 105 of 2005.</w:t>
      </w:r>
    </w:p>
    <w:p>
      <w:pPr>
        <w:pStyle w:val="BodyText"/>
      </w:pPr>
    </w:p>
    <w:p>
      <w:pPr>
        <w:spacing w:before="1"/>
        <w:ind w:left="1701" w:right="1741" w:firstLine="0"/>
        <w:jc w:val="left"/>
        <w:rPr>
          <w:sz w:val="20"/>
        </w:rPr>
      </w:pPr>
      <w:r>
        <w:rPr>
          <w:sz w:val="20"/>
        </w:rPr>
        <w:t>The Amendment Act changes the </w:t>
      </w:r>
      <w:r>
        <w:rPr>
          <w:i/>
          <w:sz w:val="20"/>
        </w:rPr>
        <w:t>Customs Legislation Amendment (Application of International Trade Modernisation and Other Measures) Act 2004</w:t>
      </w:r>
      <w:r>
        <w:rPr>
          <w:sz w:val="20"/>
        </w:rPr>
        <w:t>:</w:t>
      </w:r>
    </w:p>
    <w:p>
      <w:pPr>
        <w:pStyle w:val="ListParagraph"/>
        <w:numPr>
          <w:ilvl w:val="0"/>
          <w:numId w:val="1"/>
        </w:numPr>
        <w:tabs>
          <w:tab w:pos="2061" w:val="left" w:leader="none"/>
          <w:tab w:pos="2062" w:val="left" w:leader="none"/>
        </w:tabs>
        <w:spacing w:line="240" w:lineRule="auto" w:before="12" w:after="0"/>
        <w:ind w:left="2061" w:right="1963" w:hanging="360"/>
        <w:jc w:val="left"/>
        <w:rPr>
          <w:sz w:val="20"/>
        </w:rPr>
      </w:pPr>
      <w:r>
        <w:rPr>
          <w:sz w:val="20"/>
        </w:rPr>
        <w:t>specifying 2am (AEST) on 12 October 2005 as the import cut-over time for the Integrated Cargo System;</w:t>
      </w:r>
      <w:r>
        <w:rPr>
          <w:spacing w:val="-3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1"/>
        </w:numPr>
        <w:tabs>
          <w:tab w:pos="2061" w:val="left" w:leader="none"/>
          <w:tab w:pos="2062" w:val="left" w:leader="none"/>
        </w:tabs>
        <w:spacing w:line="240" w:lineRule="auto" w:before="14" w:after="0"/>
        <w:ind w:left="2061" w:right="1889" w:hanging="360"/>
        <w:jc w:val="left"/>
        <w:rPr>
          <w:sz w:val="20"/>
        </w:rPr>
      </w:pPr>
      <w:r>
        <w:rPr>
          <w:sz w:val="20"/>
        </w:rPr>
        <w:t>making</w:t>
      </w:r>
      <w:r>
        <w:rPr>
          <w:spacing w:val="-6"/>
          <w:sz w:val="20"/>
        </w:rPr>
        <w:t> </w:t>
      </w:r>
      <w:r>
        <w:rPr>
          <w:sz w:val="20"/>
        </w:rPr>
        <w:t>consequential</w:t>
      </w:r>
      <w:r>
        <w:rPr>
          <w:spacing w:val="-5"/>
          <w:sz w:val="20"/>
        </w:rPr>
        <w:t> </w:t>
      </w:r>
      <w:r>
        <w:rPr>
          <w:sz w:val="20"/>
        </w:rPr>
        <w:t>amendments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provisions</w:t>
      </w:r>
      <w:r>
        <w:rPr>
          <w:spacing w:val="-6"/>
          <w:sz w:val="20"/>
        </w:rPr>
        <w:t> </w:t>
      </w:r>
      <w:r>
        <w:rPr>
          <w:sz w:val="20"/>
        </w:rPr>
        <w:t>relating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import</w:t>
      </w:r>
      <w:r>
        <w:rPr>
          <w:spacing w:val="-5"/>
          <w:sz w:val="20"/>
        </w:rPr>
        <w:t> </w:t>
      </w:r>
      <w:r>
        <w:rPr>
          <w:sz w:val="20"/>
        </w:rPr>
        <w:t>turn-off</w:t>
      </w:r>
      <w:r>
        <w:rPr>
          <w:spacing w:val="-6"/>
          <w:sz w:val="20"/>
        </w:rPr>
        <w:t> </w:t>
      </w:r>
      <w:r>
        <w:rPr>
          <w:sz w:val="20"/>
        </w:rPr>
        <w:t>time</w:t>
      </w:r>
      <w:r>
        <w:rPr>
          <w:spacing w:val="-5"/>
          <w:sz w:val="20"/>
        </w:rPr>
        <w:t> </w:t>
      </w:r>
      <w:r>
        <w:rPr>
          <w:sz w:val="20"/>
        </w:rPr>
        <w:t>for the cargo legacy</w:t>
      </w:r>
      <w:r>
        <w:rPr>
          <w:spacing w:val="-2"/>
          <w:sz w:val="20"/>
        </w:rPr>
        <w:t> </w:t>
      </w:r>
      <w:r>
        <w:rPr>
          <w:sz w:val="20"/>
        </w:rPr>
        <w:t>systems.</w:t>
      </w:r>
    </w:p>
    <w:p>
      <w:pPr>
        <w:pStyle w:val="BodyText"/>
      </w:pPr>
    </w:p>
    <w:p>
      <w:pPr>
        <w:pStyle w:val="BodyText"/>
        <w:ind w:left="1701" w:right="2364"/>
      </w:pPr>
      <w:r>
        <w:rPr/>
        <w:t>The Amendment Act gives effect to the Government’s commitment that there would be a suitable transition period to allow for business readiness.</w:t>
      </w:r>
    </w:p>
    <w:p>
      <w:pPr>
        <w:pStyle w:val="BodyText"/>
      </w:pPr>
    </w:p>
    <w:p>
      <w:pPr>
        <w:spacing w:before="1"/>
        <w:ind w:left="1701" w:right="2096" w:firstLine="0"/>
        <w:jc w:val="left"/>
        <w:rPr>
          <w:sz w:val="20"/>
        </w:rPr>
      </w:pPr>
      <w:r>
        <w:rPr>
          <w:sz w:val="20"/>
        </w:rPr>
        <w:t>On Friday 19 August 2005, the </w:t>
      </w:r>
      <w:r>
        <w:rPr>
          <w:i/>
          <w:sz w:val="20"/>
        </w:rPr>
        <w:t>Customs Amendment Regulations 2005 (No. 5) </w:t>
      </w:r>
      <w:r>
        <w:rPr>
          <w:sz w:val="20"/>
        </w:rPr>
        <w:t>- No. 186 of 2005 - were registered in accordance with the </w:t>
      </w:r>
      <w:r>
        <w:rPr>
          <w:i/>
          <w:sz w:val="20"/>
        </w:rPr>
        <w:t>Legislative Instruments Act 2003</w:t>
      </w:r>
      <w:r>
        <w:rPr>
          <w:sz w:val="20"/>
        </w:rPr>
        <w:t>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701" w:right="1696"/>
      </w:pPr>
      <w:r>
        <w:rPr/>
        <w:t>The Amendment Regulations change the </w:t>
      </w:r>
      <w:r>
        <w:rPr>
          <w:i/>
        </w:rPr>
        <w:t>Customs Regulations 1926 </w:t>
      </w:r>
      <w:r>
        <w:rPr/>
        <w:t>by repealing redundant provisions, updating legislative and system references and inserting new regulations prescribing matters required by provisions of the ITM amended Customs Act.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701" w:right="2063"/>
      </w:pPr>
      <w:r>
        <w:rPr/>
        <w:t>The Amendment Regulations also include the new 96hr timeframes applicable to impending arrival (and consequently crew) and passenger reports for ships.</w:t>
      </w:r>
    </w:p>
    <w:p>
      <w:pPr>
        <w:pStyle w:val="BodyText"/>
      </w:pPr>
    </w:p>
    <w:p>
      <w:pPr>
        <w:pStyle w:val="BodyText"/>
        <w:ind w:left="1701" w:right="2219"/>
      </w:pPr>
      <w:r>
        <w:rPr/>
        <w:t>While the Amendment Regulations have commenced, transitional provisions postpone the application of the changes until required by provisions of the ITM amended Customs Act.</w:t>
      </w:r>
    </w:p>
    <w:p>
      <w:pPr>
        <w:pStyle w:val="BodyText"/>
      </w:pPr>
    </w:p>
    <w:p>
      <w:pPr>
        <w:pStyle w:val="BodyText"/>
        <w:ind w:left="1701" w:right="1741"/>
      </w:pPr>
      <w:r>
        <w:rPr/>
        <w:t>To view the Amendment Act or Regulations, visit the Attorney General’s Department’s ComLaw website (</w:t>
      </w:r>
      <w:hyperlink r:id="rId6">
        <w:r>
          <w:rPr>
            <w:color w:val="0000FF"/>
            <w:u w:val="single" w:color="0000FF"/>
          </w:rPr>
          <w:t>http://www.comlaw.gov.au</w:t>
        </w:r>
      </w:hyperlink>
      <w:r>
        <w:rPr/>
        <w:t>). The relevant reference numbers are C2005A00105 and F2005L02003, respectively. Unlike Regulations, Explanatory Memoranda for Acts are located with the related Bills. The Bill can be found using ComLaw’s browse facility.</w:t>
      </w:r>
    </w:p>
    <w:p>
      <w:pPr>
        <w:pStyle w:val="BodyText"/>
        <w:spacing w:before="1"/>
      </w:pPr>
    </w:p>
    <w:p>
      <w:pPr>
        <w:spacing w:before="0"/>
        <w:ind w:left="1701" w:right="1742" w:firstLine="0"/>
        <w:jc w:val="left"/>
        <w:rPr>
          <w:sz w:val="20"/>
        </w:rPr>
      </w:pPr>
      <w:r>
        <w:rPr>
          <w:sz w:val="20"/>
        </w:rPr>
        <w:t>For further information on imports ITM transition matters, refer to the “</w:t>
      </w:r>
      <w:r>
        <w:rPr>
          <w:i/>
          <w:sz w:val="20"/>
        </w:rPr>
        <w:t>Cut-over to the Integrated Cargo System (ICS) - Imports</w:t>
      </w:r>
      <w:r>
        <w:rPr>
          <w:sz w:val="20"/>
        </w:rPr>
        <w:t>“ fact sheet available on the Customs CMR website.</w:t>
      </w:r>
    </w:p>
    <w:p>
      <w:pPr>
        <w:pStyle w:val="BodyText"/>
      </w:pPr>
    </w:p>
    <w:p>
      <w:pPr>
        <w:pStyle w:val="BodyText"/>
        <w:ind w:left="1701" w:right="1752"/>
      </w:pPr>
      <w:r>
        <w:rPr/>
        <w:t>For queries concerning this ACN, please contact the Manager, Legislation and Development by phone on 02 6275 5977 or by fax on 02 6245 5446.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0"/>
        <w:ind w:left="1701" w:right="8561"/>
        <w:jc w:val="both"/>
      </w:pPr>
      <w:r>
        <w:rPr/>
        <w:t>Philomena Carnell National Manager Cargo Branch</w:t>
      </w:r>
    </w:p>
    <w:p>
      <w:pPr>
        <w:pStyle w:val="BodyText"/>
      </w:pPr>
    </w:p>
    <w:p>
      <w:pPr>
        <w:pStyle w:val="BodyText"/>
        <w:ind w:left="1701"/>
        <w:jc w:val="both"/>
      </w:pPr>
      <w:r>
        <w:rPr/>
        <w:t>31 August 2005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5556503</wp:posOffset>
            </wp:positionH>
            <wp:positionV relativeFrom="paragraph">
              <wp:posOffset>98255</wp:posOffset>
            </wp:positionV>
            <wp:extent cx="1605144" cy="116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44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8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061" w:hanging="361"/>
      </w:pPr>
      <w:rPr>
        <w:rFonts w:hint="default" w:ascii="Arial" w:hAnsi="Arial" w:eastAsia="Arial" w:cs="Arial"/>
        <w:w w:val="131"/>
        <w:sz w:val="20"/>
        <w:szCs w:val="20"/>
      </w:rPr>
    </w:lvl>
    <w:lvl w:ilvl="1">
      <w:start w:val="0"/>
      <w:numFmt w:val="bullet"/>
      <w:lvlText w:val="•"/>
      <w:lvlJc w:val="left"/>
      <w:pPr>
        <w:ind w:left="3044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2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012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99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8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96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4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932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232"/>
      <w:ind w:left="1899" w:right="1891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12"/>
      <w:ind w:left="2061" w:right="1889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comlaw.gov.au/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Alteration of the import cut-over time and International Trade Modernisation (ITM) import related regulation changes</dc:subject>
  <dc:title>Australian Customs Notice 2005/45</dc:title>
  <dcterms:created xsi:type="dcterms:W3CDTF">2020-12-09T23:16:14Z</dcterms:created>
  <dcterms:modified xsi:type="dcterms:W3CDTF">2020-12-09T23:16:14Z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2005-09-05T00:00:00Z</vt:filetime>
  </property>
  <property fmtid="{D5CDD505-2E9C-101B-9397-08002B2CF9AE}" pid="3" name="Creator">
    <vt:lpwstr>Acrobat PDFMaker 6.0 for Word</vt:lpwstr>
  </property>
  <property fmtid="{D5CDD505-2E9C-101B-9397-08002B2CF9AE}" pid="4" name="LastSaved">
    <vt:filetime>2020-12-09T00:00:00Z</vt:filetime>
  </property>
</Properties>
</file>