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30176">
            <wp:simplePos x="0" y="0"/>
            <wp:positionH relativeFrom="page">
              <wp:posOffset>0</wp:posOffset>
            </wp:positionH>
            <wp:positionV relativeFrom="paragraph">
              <wp:posOffset>-1289541</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01 " w:id="2"/>
      <w:bookmarkEnd w:id="2"/>
      <w:r>
        <w:rPr>
          <w:b w:val="0"/>
        </w:rPr>
      </w:r>
      <w:r>
        <w:rPr/>
        <w:t>AUSTRALIAN CUSTOMS NOTICE NO. 2006/01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5314" w:right="1830" w:hanging="3471"/>
        <w:jc w:val="left"/>
        <w:rPr>
          <w:sz w:val="28"/>
        </w:rPr>
      </w:pPr>
      <w:bookmarkStart w:name="Commerce (Imports) Regulations 1940 - la" w:id="3"/>
      <w:bookmarkEnd w:id="3"/>
      <w:r>
        <w:rPr/>
      </w:r>
      <w:r>
        <w:rPr>
          <w:sz w:val="28"/>
        </w:rPr>
        <w:t>Commerce (Imports) Regulations 1940 - labelling requirements for chinaware</w:t>
      </w:r>
    </w:p>
    <w:p>
      <w:pPr>
        <w:pStyle w:val="BodyText"/>
        <w:rPr>
          <w:sz w:val="25"/>
        </w:rPr>
      </w:pPr>
    </w:p>
    <w:p>
      <w:pPr>
        <w:spacing w:before="0"/>
        <w:ind w:left="1701" w:right="1707" w:firstLine="0"/>
        <w:jc w:val="left"/>
        <w:rPr>
          <w:sz w:val="20"/>
        </w:rPr>
      </w:pPr>
      <w:r>
        <w:rPr>
          <w:sz w:val="20"/>
        </w:rPr>
        <w:t>The purpose of this Australian Customs Notice is to clarify requirements for labelling of imported chinaware</w:t>
      </w:r>
      <w:hyperlink w:history="true" w:anchor="_bookmark0">
        <w:r>
          <w:rPr>
            <w:sz w:val="20"/>
            <w:vertAlign w:val="superscript"/>
          </w:rPr>
          <w:t>1</w:t>
        </w:r>
        <w:r>
          <w:rPr>
            <w:sz w:val="20"/>
            <w:vertAlign w:val="baseline"/>
          </w:rPr>
          <w:t> </w:t>
        </w:r>
      </w:hyperlink>
      <w:r>
        <w:rPr>
          <w:sz w:val="20"/>
          <w:vertAlign w:val="baseline"/>
        </w:rPr>
        <w:t>as prescribed by the </w:t>
      </w:r>
      <w:r>
        <w:rPr>
          <w:i/>
          <w:sz w:val="20"/>
          <w:vertAlign w:val="baseline"/>
        </w:rPr>
        <w:t>Commerce (Trade Descriptions) Act 1905 </w:t>
      </w:r>
      <w:r>
        <w:rPr>
          <w:sz w:val="20"/>
          <w:vertAlign w:val="baseline"/>
        </w:rPr>
        <w:t>(the Act) and </w:t>
      </w:r>
      <w:r>
        <w:rPr>
          <w:i/>
          <w:sz w:val="20"/>
          <w:vertAlign w:val="baseline"/>
        </w:rPr>
        <w:t>Commerce (Imports) Regulations 1940</w:t>
      </w:r>
      <w:r>
        <w:rPr>
          <w:sz w:val="20"/>
          <w:vertAlign w:val="baseline"/>
        </w:rPr>
        <w:t>, (the regulations) and supersedes the requirements for labelling set out for chinaware in Australian Customs Notice 2002/44.</w:t>
      </w:r>
    </w:p>
    <w:p>
      <w:pPr>
        <w:pStyle w:val="BodyText"/>
        <w:spacing w:before="11"/>
        <w:rPr>
          <w:sz w:val="19"/>
        </w:rPr>
      </w:pPr>
    </w:p>
    <w:p>
      <w:pPr>
        <w:pStyle w:val="BodyText"/>
        <w:ind w:left="1701" w:right="2151"/>
      </w:pPr>
      <w:r>
        <w:rPr/>
        <w:t>Regulation 7(1)(j) of the regulations requires that a trade description be placed on imported china, porcelain, earthenware and enamelled hollowware of the following kinds:</w:t>
      </w:r>
    </w:p>
    <w:p>
      <w:pPr>
        <w:pStyle w:val="BodyText"/>
      </w:pPr>
    </w:p>
    <w:p>
      <w:pPr>
        <w:pStyle w:val="ListParagraph"/>
        <w:numPr>
          <w:ilvl w:val="0"/>
          <w:numId w:val="1"/>
        </w:numPr>
        <w:tabs>
          <w:tab w:pos="2781" w:val="left" w:leader="none"/>
          <w:tab w:pos="2782" w:val="left" w:leader="none"/>
        </w:tabs>
        <w:spacing w:line="240" w:lineRule="auto" w:before="0" w:after="0"/>
        <w:ind w:left="2781" w:right="2094" w:hanging="721"/>
        <w:jc w:val="left"/>
        <w:rPr>
          <w:sz w:val="20"/>
        </w:rPr>
      </w:pPr>
      <w:r>
        <w:rPr>
          <w:sz w:val="20"/>
        </w:rPr>
        <w:t>articles of a description commonly used in connexion with the serving of food or drink for man;</w:t>
      </w:r>
      <w:r>
        <w:rPr>
          <w:spacing w:val="-4"/>
          <w:sz w:val="20"/>
        </w:rPr>
        <w:t> </w:t>
      </w:r>
      <w:r>
        <w:rPr>
          <w:sz w:val="20"/>
        </w:rPr>
        <w:t>and</w:t>
      </w:r>
    </w:p>
    <w:p>
      <w:pPr>
        <w:pStyle w:val="ListParagraph"/>
        <w:numPr>
          <w:ilvl w:val="0"/>
          <w:numId w:val="1"/>
        </w:numPr>
        <w:tabs>
          <w:tab w:pos="2782" w:val="left" w:leader="none"/>
          <w:tab w:pos="2783" w:val="left" w:leader="none"/>
        </w:tabs>
        <w:spacing w:line="240" w:lineRule="auto" w:before="1" w:after="0"/>
        <w:ind w:left="2782" w:right="0" w:hanging="722"/>
        <w:jc w:val="left"/>
        <w:rPr>
          <w:sz w:val="20"/>
        </w:rPr>
      </w:pPr>
      <w:r>
        <w:rPr>
          <w:sz w:val="20"/>
        </w:rPr>
        <w:t>kitchenware and kitchen</w:t>
      </w:r>
      <w:r>
        <w:rPr>
          <w:spacing w:val="-4"/>
          <w:sz w:val="20"/>
        </w:rPr>
        <w:t> </w:t>
      </w:r>
      <w:r>
        <w:rPr>
          <w:sz w:val="20"/>
        </w:rPr>
        <w:t>utensils.</w:t>
      </w:r>
    </w:p>
    <w:p>
      <w:pPr>
        <w:pStyle w:val="BodyText"/>
      </w:pPr>
    </w:p>
    <w:p>
      <w:pPr>
        <w:pStyle w:val="BodyText"/>
        <w:ind w:left="1701" w:right="1972"/>
      </w:pPr>
      <w:r>
        <w:rPr/>
        <w:t>The trade description to be applied to such goods is set out in Regulation 8 of the regulations and is as follows.</w:t>
      </w:r>
    </w:p>
    <w:p>
      <w:pPr>
        <w:pStyle w:val="BodyText"/>
      </w:pPr>
    </w:p>
    <w:p>
      <w:pPr>
        <w:pStyle w:val="BodyText"/>
        <w:ind w:left="1701" w:right="1950" w:hanging="1"/>
      </w:pPr>
      <w:r>
        <w:rPr/>
        <w:t>The trade description must be in the form of a principal label or brand affixed in a prominent position and in as permanent a manner as practicable to the goods. (This means that for chinaware, the trade description on chinaware must be permanent, that is, indelible print, etching or under the glaze, and the trade description is to be applied on each individual item.)</w:t>
      </w:r>
    </w:p>
    <w:p>
      <w:pPr>
        <w:pStyle w:val="BodyText"/>
        <w:spacing w:before="11"/>
        <w:rPr>
          <w:sz w:val="19"/>
        </w:rPr>
      </w:pPr>
    </w:p>
    <w:p>
      <w:pPr>
        <w:pStyle w:val="BodyText"/>
        <w:ind w:left="1701" w:right="1984"/>
      </w:pPr>
      <w:r>
        <w:rPr/>
        <w:t>The trade description must include the name of the country in which the goods were made or produced.</w:t>
      </w:r>
    </w:p>
    <w:p>
      <w:pPr>
        <w:pStyle w:val="BodyText"/>
      </w:pPr>
    </w:p>
    <w:p>
      <w:pPr>
        <w:pStyle w:val="BodyText"/>
        <w:ind w:left="1701" w:right="1750"/>
      </w:pPr>
      <w:r>
        <w:rPr/>
        <w:t>If the trade description on the goods includes a weight or quantity, it must also say if that weight or quantity is net or gross.</w:t>
      </w:r>
    </w:p>
    <w:p>
      <w:pPr>
        <w:pStyle w:val="BodyText"/>
      </w:pPr>
    </w:p>
    <w:p>
      <w:pPr>
        <w:pStyle w:val="BodyText"/>
        <w:ind w:left="1701" w:right="2029"/>
      </w:pPr>
      <w:r>
        <w:rPr/>
        <w:t>Any other information included must not contradict or obscure the required trade description. This includes illustrations, wording or size of lettering.</w:t>
      </w:r>
    </w:p>
    <w:p>
      <w:pPr>
        <w:pStyle w:val="BodyText"/>
      </w:pPr>
    </w:p>
    <w:p>
      <w:pPr>
        <w:pStyle w:val="BodyText"/>
        <w:ind w:left="1701"/>
      </w:pPr>
      <w:r>
        <w:rPr/>
        <w:t>The trade description must be in English.</w:t>
      </w:r>
    </w:p>
    <w:p>
      <w:pPr>
        <w:pStyle w:val="BodyText"/>
        <w:spacing w:before="1"/>
      </w:pPr>
    </w:p>
    <w:p>
      <w:pPr>
        <w:pStyle w:val="Heading1"/>
      </w:pPr>
      <w:bookmarkStart w:name="Requirements for chinaware imported for " w:id="4"/>
      <w:bookmarkEnd w:id="4"/>
      <w:r>
        <w:rPr>
          <w:b w:val="0"/>
        </w:rPr>
      </w:r>
      <w:r>
        <w:rPr/>
        <w:t>Requirements for chinaware imported for sale as pre-packed items</w:t>
      </w:r>
    </w:p>
    <w:p>
      <w:pPr>
        <w:pStyle w:val="BodyText"/>
        <w:spacing w:before="10"/>
        <w:rPr>
          <w:b/>
          <w:sz w:val="19"/>
        </w:rPr>
      </w:pPr>
    </w:p>
    <w:p>
      <w:pPr>
        <w:pStyle w:val="BodyText"/>
        <w:ind w:left="1701" w:right="1761"/>
      </w:pPr>
      <w:r>
        <w:rPr/>
        <w:t>Where items referred to in r.7(1)(j) of the regulations are imported in the packaging in which they are to be sold, the trade description must be applied to the individual items in the package. (Previously, where items were imported in this way Customs took the view that the regulations permitted the trade description to be applied to the packages in which they were offered for sale.)</w:t>
      </w:r>
    </w:p>
    <w:p>
      <w:pPr>
        <w:pStyle w:val="BodyText"/>
        <w:spacing w:before="1"/>
      </w:pPr>
    </w:p>
    <w:p>
      <w:pPr>
        <w:pStyle w:val="Heading1"/>
      </w:pPr>
      <w:bookmarkStart w:name="Other Requirements " w:id="5"/>
      <w:bookmarkEnd w:id="5"/>
      <w:r>
        <w:rPr>
          <w:b w:val="0"/>
        </w:rPr>
      </w:r>
      <w:r>
        <w:rPr/>
        <w:t>Other Requirements</w:t>
      </w:r>
    </w:p>
    <w:p>
      <w:pPr>
        <w:pStyle w:val="BodyText"/>
        <w:rPr>
          <w:b/>
        </w:rPr>
      </w:pPr>
    </w:p>
    <w:p>
      <w:pPr>
        <w:pStyle w:val="BodyText"/>
        <w:ind w:left="1701" w:right="1739"/>
      </w:pPr>
      <w:r>
        <w:rPr/>
        <w:t>The Act prohibits the importation of goods that bear a false trade description. A false trade description means a trade description which, by reason of anything contained therein or omitted therefrom, is false or likely to mislead in a material respect as regards the goods to which it is applied, and includes every alteration of a trade description, whether by way of addition,</w:t>
      </w:r>
    </w:p>
    <w:p>
      <w:pPr>
        <w:pStyle w:val="BodyText"/>
        <w:spacing w:before="10"/>
        <w:rPr>
          <w:sz w:val="8"/>
        </w:rPr>
      </w:pPr>
      <w:r>
        <w:rPr/>
        <w:pict>
          <v:rect style="position:absolute;margin-left:85.080002pt;margin-top:7.073584pt;width:144pt;height:.48pt;mso-position-horizontal-relative:page;mso-position-vertical-relative:paragraph;z-index:-15728128;mso-wrap-distance-left:0;mso-wrap-distance-right:0" filled="true" fillcolor="#000000" stroked="false">
            <v:fill type="solid"/>
            <w10:wrap type="topAndBottom"/>
          </v:rect>
        </w:pict>
      </w:r>
    </w:p>
    <w:p>
      <w:pPr>
        <w:spacing w:before="21"/>
        <w:ind w:left="1701" w:right="0" w:firstLine="0"/>
        <w:jc w:val="left"/>
        <w:rPr>
          <w:sz w:val="16"/>
        </w:rPr>
      </w:pPr>
      <w:bookmarkStart w:name="_bookmark0" w:id="6"/>
      <w:bookmarkEnd w:id="6"/>
      <w:r>
        <w:rPr/>
      </w:r>
      <w:r>
        <w:rPr>
          <w:position w:val="10"/>
          <w:sz w:val="13"/>
        </w:rPr>
        <w:t>1 </w:t>
      </w:r>
      <w:r>
        <w:rPr>
          <w:sz w:val="16"/>
        </w:rPr>
        <w:t>Chinaware includes items listed in Regulation 7(1)(j) of the </w:t>
      </w:r>
      <w:r>
        <w:rPr>
          <w:i/>
          <w:sz w:val="16"/>
        </w:rPr>
        <w:t>Commerce (Imports) Regulations 1940</w:t>
      </w:r>
      <w:r>
        <w:rPr>
          <w:sz w:val="16"/>
        </w:rPr>
        <w:t>.</w:t>
      </w:r>
    </w:p>
    <w:p>
      <w:pPr>
        <w:pStyle w:val="BodyText"/>
      </w:pPr>
    </w:p>
    <w:p>
      <w:pPr>
        <w:pStyle w:val="BodyText"/>
      </w:pPr>
    </w:p>
    <w:p>
      <w:pPr>
        <w:pStyle w:val="BodyText"/>
        <w:spacing w:before="11"/>
        <w:rPr>
          <w:sz w:val="22"/>
        </w:rPr>
      </w:pPr>
      <w:r>
        <w:rPr/>
        <w:drawing>
          <wp:anchor distT="0" distB="0" distL="0" distR="0" allowOverlap="1" layoutInCell="1" locked="0" behindDoc="0" simplePos="0" relativeHeight="2">
            <wp:simplePos x="0" y="0"/>
            <wp:positionH relativeFrom="page">
              <wp:posOffset>5557265</wp:posOffset>
            </wp:positionH>
            <wp:positionV relativeFrom="paragraph">
              <wp:posOffset>192469</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p>
      <w:pPr>
        <w:spacing w:after="0"/>
        <w:rPr>
          <w:sz w:val="22"/>
        </w:rPr>
        <w:sectPr>
          <w:type w:val="continuous"/>
          <w:pgSz w:w="11910" w:h="16840"/>
          <w:pgMar w:top="860" w:bottom="280" w:left="0" w:right="0"/>
        </w:sectPr>
      </w:pPr>
    </w:p>
    <w:p>
      <w:pPr>
        <w:pStyle w:val="BodyText"/>
        <w:spacing w:before="77"/>
        <w:ind w:left="1701" w:right="2052"/>
      </w:pPr>
      <w:r>
        <w:rPr/>
        <w:t>effacement, or otherwise, which makes the description false or likely to mislead in a material respect.</w:t>
      </w:r>
    </w:p>
    <w:p>
      <w:pPr>
        <w:pStyle w:val="BodyText"/>
      </w:pPr>
    </w:p>
    <w:p>
      <w:pPr>
        <w:pStyle w:val="BodyText"/>
        <w:ind w:left="1701" w:right="1830"/>
      </w:pPr>
      <w:r>
        <w:rPr/>
        <w:t>Further, although "Made in” is not explicitly required under the regulations (the legislation prescribes that "the name of the country in which the goods were made or produced" must be applied), where the name of the country in which they are made can be mistaken for a description of the goods (such as chinaware that is made in China) Customs suggests that “Made in” is also included. This will ensure neither the regulations nor the Act are contravened (by not bearing the prescribed trade description or by bearing a false or misleading trade description).</w:t>
      </w:r>
    </w:p>
    <w:p>
      <w:pPr>
        <w:pStyle w:val="BodyText"/>
        <w:spacing w:before="11"/>
        <w:rPr>
          <w:sz w:val="19"/>
        </w:rPr>
      </w:pPr>
    </w:p>
    <w:p>
      <w:pPr>
        <w:pStyle w:val="BodyText"/>
        <w:ind w:left="1701" w:right="1821"/>
        <w:jc w:val="both"/>
      </w:pPr>
      <w:r>
        <w:rPr/>
        <w:t>The Act provides that goods imported in contravention of the regulations are forfeited to the Crown and they therefore may be seized by Customs under a warrant issued under s.203 of the </w:t>
      </w:r>
      <w:r>
        <w:rPr>
          <w:i/>
        </w:rPr>
        <w:t>Customs Act 1901</w:t>
      </w:r>
      <w:r>
        <w:rPr/>
        <w:t>. While Customs may instead permit the re-labelling of contravening goods where it is considered that the contravention was neither intentional nor reckless, Customs recommends that goods comply with the legislation prior to their importation.</w:t>
      </w:r>
    </w:p>
    <w:p>
      <w:pPr>
        <w:pStyle w:val="BodyText"/>
        <w:spacing w:before="1"/>
      </w:pPr>
    </w:p>
    <w:p>
      <w:pPr>
        <w:pStyle w:val="Heading1"/>
        <w:spacing w:before="1"/>
        <w:jc w:val="both"/>
      </w:pPr>
      <w:bookmarkStart w:name="Enforcement of Trade Description Require" w:id="7"/>
      <w:bookmarkEnd w:id="7"/>
      <w:r>
        <w:rPr>
          <w:b w:val="0"/>
        </w:rPr>
      </w:r>
      <w:r>
        <w:rPr/>
        <w:t>Enforcement of Trade Description Requirements</w:t>
      </w:r>
    </w:p>
    <w:p>
      <w:pPr>
        <w:pStyle w:val="BodyText"/>
        <w:spacing w:before="9"/>
        <w:rPr>
          <w:b/>
          <w:sz w:val="19"/>
        </w:rPr>
      </w:pPr>
    </w:p>
    <w:p>
      <w:pPr>
        <w:pStyle w:val="BodyText"/>
        <w:ind w:left="1701" w:right="1822"/>
        <w:jc w:val="both"/>
      </w:pPr>
      <w:r>
        <w:rPr/>
        <w:t>Customs has consulted with several importers of chinaware concerning the requirements set out in this ACN. To allow time for importers, if necessary, to accommodate the change, Customs, until 30 April will not seize as forfeited goods, goods referred to in r.7(1)(j) of the regulations in relation to which the trade description has been applied to the packages in  which the goods are to be offered for sale (providing that all other requirements have been met). After that date, however, all imported goods referred to in r.7(1)(j) of the regulations  must have applied to the individual items the prescribed trade description regardless of </w:t>
      </w:r>
      <w:r>
        <w:rPr>
          <w:spacing w:val="-5"/>
        </w:rPr>
        <w:t>how </w:t>
      </w:r>
      <w:r>
        <w:rPr/>
        <w:t>the items are offered for</w:t>
      </w:r>
      <w:r>
        <w:rPr>
          <w:spacing w:val="-6"/>
        </w:rPr>
        <w:t> </w:t>
      </w:r>
      <w:r>
        <w:rPr/>
        <w:t>sale.</w:t>
      </w:r>
    </w:p>
    <w:p>
      <w:pPr>
        <w:pStyle w:val="BodyText"/>
      </w:pPr>
    </w:p>
    <w:p>
      <w:pPr>
        <w:pStyle w:val="BodyText"/>
        <w:spacing w:before="1"/>
        <w:ind w:left="1701" w:right="1820"/>
        <w:jc w:val="both"/>
      </w:pPr>
      <w:r>
        <w:rPr/>
        <w:t>Inquiries concerning this notice may be directed to the Manager Intellectual Property on telephone number (02) 6275 6445 or fax number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239"/>
      </w:pPr>
      <w:r>
        <w:rPr/>
        <w:t>Tim Chapman National Manager Cargo Branch CANBERRA ACT</w:t>
      </w:r>
    </w:p>
    <w:p>
      <w:pPr>
        <w:pStyle w:val="BodyText"/>
        <w:spacing w:before="119"/>
        <w:ind w:left="1867"/>
      </w:pPr>
      <w:r>
        <w:rPr/>
        <w:t>January 2006</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2781" w:hanging="721"/>
        <w:jc w:val="left"/>
      </w:pPr>
      <w:rPr>
        <w:rFonts w:hint="default" w:ascii="Arial" w:hAnsi="Arial" w:eastAsia="Arial" w:cs="Arial"/>
        <w:spacing w:val="-1"/>
        <w:w w:val="100"/>
        <w:sz w:val="20"/>
        <w:szCs w:val="20"/>
      </w:rPr>
    </w:lvl>
    <w:lvl w:ilvl="1">
      <w:start w:val="0"/>
      <w:numFmt w:val="bullet"/>
      <w:lvlText w:val="•"/>
      <w:lvlJc w:val="left"/>
      <w:pPr>
        <w:ind w:left="3692" w:hanging="721"/>
      </w:pPr>
      <w:rPr>
        <w:rFonts w:hint="default"/>
      </w:rPr>
    </w:lvl>
    <w:lvl w:ilvl="2">
      <w:start w:val="0"/>
      <w:numFmt w:val="bullet"/>
      <w:lvlText w:val="•"/>
      <w:lvlJc w:val="left"/>
      <w:pPr>
        <w:ind w:left="4604" w:hanging="721"/>
      </w:pPr>
      <w:rPr>
        <w:rFonts w:hint="default"/>
      </w:rPr>
    </w:lvl>
    <w:lvl w:ilvl="3">
      <w:start w:val="0"/>
      <w:numFmt w:val="bullet"/>
      <w:lvlText w:val="•"/>
      <w:lvlJc w:val="left"/>
      <w:pPr>
        <w:ind w:left="5517" w:hanging="721"/>
      </w:pPr>
      <w:rPr>
        <w:rFonts w:hint="default"/>
      </w:rPr>
    </w:lvl>
    <w:lvl w:ilvl="4">
      <w:start w:val="0"/>
      <w:numFmt w:val="bullet"/>
      <w:lvlText w:val="•"/>
      <w:lvlJc w:val="left"/>
      <w:pPr>
        <w:ind w:left="6429" w:hanging="721"/>
      </w:pPr>
      <w:rPr>
        <w:rFonts w:hint="default"/>
      </w:rPr>
    </w:lvl>
    <w:lvl w:ilvl="5">
      <w:start w:val="0"/>
      <w:numFmt w:val="bullet"/>
      <w:lvlText w:val="•"/>
      <w:lvlJc w:val="left"/>
      <w:pPr>
        <w:ind w:left="7342" w:hanging="721"/>
      </w:pPr>
      <w:rPr>
        <w:rFonts w:hint="default"/>
      </w:rPr>
    </w:lvl>
    <w:lvl w:ilvl="6">
      <w:start w:val="0"/>
      <w:numFmt w:val="bullet"/>
      <w:lvlText w:val="•"/>
      <w:lvlJc w:val="left"/>
      <w:pPr>
        <w:ind w:left="8254" w:hanging="721"/>
      </w:pPr>
      <w:rPr>
        <w:rFonts w:hint="default"/>
      </w:rPr>
    </w:lvl>
    <w:lvl w:ilvl="7">
      <w:start w:val="0"/>
      <w:numFmt w:val="bullet"/>
      <w:lvlText w:val="•"/>
      <w:lvlJc w:val="left"/>
      <w:pPr>
        <w:ind w:left="9167" w:hanging="721"/>
      </w:pPr>
      <w:rPr>
        <w:rFonts w:hint="default"/>
      </w:rPr>
    </w:lvl>
    <w:lvl w:ilvl="8">
      <w:start w:val="0"/>
      <w:numFmt w:val="bullet"/>
      <w:lvlText w:val="•"/>
      <w:lvlJc w:val="left"/>
      <w:pPr>
        <w:ind w:left="10079"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2"/>
      <w:ind w:left="2887" w:right="2883"/>
      <w:jc w:val="center"/>
    </w:pPr>
    <w:rPr>
      <w:rFonts w:ascii="Arial" w:hAnsi="Arial" w:eastAsia="Arial" w:cs="Arial"/>
      <w:b/>
      <w:bCs/>
      <w:sz w:val="28"/>
      <w:szCs w:val="28"/>
    </w:rPr>
  </w:style>
  <w:style w:styleId="ListParagraph" w:type="paragraph">
    <w:name w:val="List Paragraph"/>
    <w:basedOn w:val="Normal"/>
    <w:uiPriority w:val="1"/>
    <w:qFormat/>
    <w:pPr>
      <w:ind w:left="2781" w:hanging="72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Commerce (Imports) Regulations 1940 - labelling requirements for chinaware</dc:subject>
  <dc:title>AUSTRALIAN CUSTOMS NOTICE NO. 2006/01</dc:title>
  <dcterms:created xsi:type="dcterms:W3CDTF">2020-12-09T23:18:50Z</dcterms:created>
  <dcterms:modified xsi:type="dcterms:W3CDTF">2020-12-09T23:18:50Z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2006-01-16T00:00:00Z</vt:filetime>
  </property>
  <property fmtid="{D5CDD505-2E9C-101B-9397-08002B2CF9AE}" pid="3" name="Creator">
    <vt:lpwstr>Acrobat PDFMaker 7.0 for Word</vt:lpwstr>
  </property>
  <property fmtid="{D5CDD505-2E9C-101B-9397-08002B2CF9AE}" pid="4" name="LastSaved">
    <vt:filetime>2020-12-09T00:00:00Z</vt:filetime>
  </property>
</Properties>
</file>