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spacing w:before="90" w:after="19"/>
        <w:ind w:right="2883" w:firstLine="0"/>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-895449</wp:posOffset>
            </wp:positionV>
            <wp:extent cx="7556754" cy="93344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33446"/>
                    </a:xfrm>
                    <a:prstGeom prst="rect">
                      <a:avLst/>
                    </a:prstGeom>
                  </pic:spPr>
                </pic:pic>
              </a:graphicData>
            </a:graphic>
          </wp:anchor>
        </w:drawing>
      </w:r>
      <w:bookmarkStart w:name="AUSTRALIAN CUSTOMS NOTICE NO. 2006/31" w:id="1"/>
      <w:bookmarkEnd w:id="1"/>
      <w:r>
        <w:rPr>
          <w:b w:val="0"/>
        </w:rPr>
      </w:r>
      <w:r>
        <w:rPr/>
        <w:t>AUSTRALIAN CUSTOMS NOTICE NO. 2006/31</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ind w:left="3561"/>
      </w:pPr>
      <w:r>
        <w:rPr/>
        <w:t>Customs Tariff Amendments Resulting from the Government’s Fuel Tax Reform and Review of Excise</w:t>
      </w:r>
    </w:p>
    <w:p>
      <w:pPr>
        <w:spacing w:before="229"/>
        <w:ind w:left="1701" w:right="1918" w:firstLine="0"/>
        <w:jc w:val="left"/>
        <w:rPr>
          <w:sz w:val="20"/>
        </w:rPr>
      </w:pPr>
      <w:r>
        <w:rPr>
          <w:sz w:val="20"/>
        </w:rPr>
        <w:t>This notice updates some of the information contained in ACN No 2006/22 of 18 May 2006. The </w:t>
      </w:r>
      <w:r>
        <w:rPr>
          <w:i/>
          <w:sz w:val="20"/>
        </w:rPr>
        <w:t>Customs Tariff Amendment (Fuel Tax Reform and Other Measures) Act 2006 </w:t>
      </w:r>
      <w:r>
        <w:rPr>
          <w:sz w:val="20"/>
        </w:rPr>
        <w:t>– No. 77 of 2006 – received the Royal Assent on 26 June 2006. That Act amends the </w:t>
      </w:r>
      <w:r>
        <w:rPr>
          <w:i/>
          <w:sz w:val="20"/>
        </w:rPr>
        <w:t>Customs Tariff Act 1995 </w:t>
      </w:r>
      <w:r>
        <w:rPr>
          <w:sz w:val="20"/>
        </w:rPr>
        <w:t>(the Customs Tariff), with effect from </w:t>
      </w:r>
      <w:r>
        <w:rPr>
          <w:b/>
          <w:sz w:val="20"/>
        </w:rPr>
        <w:t>1 July 2006</w:t>
      </w:r>
      <w:r>
        <w:rPr>
          <w:sz w:val="20"/>
        </w:rPr>
        <w:t>, to implement changes that are complementary to amendments contained in the </w:t>
      </w:r>
      <w:r>
        <w:rPr>
          <w:i/>
          <w:sz w:val="20"/>
        </w:rPr>
        <w:t>Customs Amendment (Fuel Tax Reform and Other Measures) Act 2006 </w:t>
      </w:r>
      <w:r>
        <w:rPr>
          <w:sz w:val="20"/>
        </w:rPr>
        <w:t>– No 76 of 2006.</w:t>
      </w:r>
    </w:p>
    <w:p>
      <w:pPr>
        <w:pStyle w:val="BodyText"/>
        <w:spacing w:before="11"/>
        <w:rPr>
          <w:sz w:val="19"/>
        </w:rPr>
      </w:pPr>
    </w:p>
    <w:p>
      <w:pPr>
        <w:pStyle w:val="BodyText"/>
        <w:ind w:left="1701" w:right="1806"/>
      </w:pPr>
      <w:r>
        <w:rPr/>
        <w:t>These measures are designed to strengthen Customs control over certain goods that are used in the manufacture of excisable goods. This will ensure that imported excise equivalent goods (certain alcohol, tobacco and petroleum products) are subject to customs duty at the same rate as the excise duty imposed under the </w:t>
      </w:r>
      <w:r>
        <w:rPr>
          <w:i/>
        </w:rPr>
        <w:t>Excise Tariff Act 1921 </w:t>
      </w:r>
      <w:r>
        <w:rPr/>
        <w:t>for the same products when they are manufactured or produced in Australia.</w:t>
      </w:r>
    </w:p>
    <w:p>
      <w:pPr>
        <w:pStyle w:val="BodyText"/>
        <w:spacing w:before="5"/>
        <w:rPr>
          <w:sz w:val="23"/>
        </w:rPr>
      </w:pPr>
    </w:p>
    <w:p>
      <w:pPr>
        <w:spacing w:before="0"/>
        <w:ind w:left="1701" w:right="1852" w:firstLine="0"/>
        <w:jc w:val="left"/>
        <w:rPr>
          <w:sz w:val="20"/>
        </w:rPr>
      </w:pPr>
      <w:r>
        <w:rPr>
          <w:sz w:val="20"/>
        </w:rPr>
        <w:t>The </w:t>
      </w:r>
      <w:r>
        <w:rPr>
          <w:i/>
          <w:sz w:val="20"/>
        </w:rPr>
        <w:t>Customs Tariff Amendment (Fuel Tax Reform and Other Measures) Act 2006 </w:t>
      </w:r>
      <w:r>
        <w:rPr>
          <w:sz w:val="20"/>
        </w:rPr>
        <w:t>amends the Customs Tariff by:</w:t>
      </w:r>
    </w:p>
    <w:p>
      <w:pPr>
        <w:pStyle w:val="BodyText"/>
        <w:spacing w:before="6"/>
        <w:rPr>
          <w:sz w:val="23"/>
        </w:rPr>
      </w:pPr>
    </w:p>
    <w:p>
      <w:pPr>
        <w:pStyle w:val="ListParagraph"/>
        <w:numPr>
          <w:ilvl w:val="0"/>
          <w:numId w:val="1"/>
        </w:numPr>
        <w:tabs>
          <w:tab w:pos="2421" w:val="left" w:leader="none"/>
          <w:tab w:pos="2422" w:val="left" w:leader="none"/>
        </w:tabs>
        <w:spacing w:line="240" w:lineRule="auto" w:before="1" w:after="0"/>
        <w:ind w:left="2421" w:right="2054" w:hanging="360"/>
        <w:jc w:val="left"/>
        <w:rPr>
          <w:sz w:val="20"/>
        </w:rPr>
      </w:pPr>
      <w:r>
        <w:rPr>
          <w:sz w:val="20"/>
        </w:rPr>
        <w:t>incorporating in the Customs Tariff, alterations contained in Customs Tariff Proposal (No. 5) 2005, which reduced customs duty rates for avgas and aviation kerosene</w:t>
      </w:r>
      <w:r>
        <w:rPr>
          <w:spacing w:val="-27"/>
          <w:sz w:val="20"/>
        </w:rPr>
        <w:t> </w:t>
      </w:r>
      <w:r>
        <w:rPr>
          <w:sz w:val="20"/>
        </w:rPr>
        <w:t>to</w:t>
      </w:r>
    </w:p>
    <w:p>
      <w:pPr>
        <w:pStyle w:val="BodyText"/>
        <w:spacing w:line="230" w:lineRule="exact"/>
        <w:ind w:left="2421"/>
      </w:pPr>
      <w:r>
        <w:rPr/>
        <w:t>$0.02854 per litre, effective from 1 November 2005;</w:t>
      </w:r>
    </w:p>
    <w:p>
      <w:pPr>
        <w:pStyle w:val="BodyText"/>
        <w:spacing w:before="10"/>
        <w:rPr>
          <w:sz w:val="19"/>
        </w:rPr>
      </w:pPr>
    </w:p>
    <w:p>
      <w:pPr>
        <w:pStyle w:val="ListParagraph"/>
        <w:numPr>
          <w:ilvl w:val="0"/>
          <w:numId w:val="1"/>
        </w:numPr>
        <w:tabs>
          <w:tab w:pos="2421" w:val="left" w:leader="none"/>
          <w:tab w:pos="2422" w:val="left" w:leader="none"/>
        </w:tabs>
        <w:spacing w:line="240" w:lineRule="auto" w:before="1" w:after="0"/>
        <w:ind w:left="2421" w:right="2253" w:hanging="360"/>
        <w:jc w:val="left"/>
        <w:rPr>
          <w:sz w:val="20"/>
        </w:rPr>
      </w:pPr>
      <w:r>
        <w:rPr>
          <w:sz w:val="20"/>
        </w:rPr>
        <w:t>amending Schedules 3, 5 and 6 of the Customs Tariff to align customs duties with amended excise classifications and rates of</w:t>
      </w:r>
      <w:r>
        <w:rPr>
          <w:spacing w:val="-10"/>
          <w:sz w:val="20"/>
        </w:rPr>
        <w:t> </w:t>
      </w:r>
      <w:r>
        <w:rPr>
          <w:sz w:val="20"/>
        </w:rPr>
        <w:t>duty;</w:t>
      </w:r>
    </w:p>
    <w:p>
      <w:pPr>
        <w:pStyle w:val="BodyText"/>
        <w:spacing w:before="11"/>
        <w:rPr>
          <w:sz w:val="19"/>
        </w:rPr>
      </w:pPr>
    </w:p>
    <w:p>
      <w:pPr>
        <w:pStyle w:val="ListParagraph"/>
        <w:numPr>
          <w:ilvl w:val="0"/>
          <w:numId w:val="1"/>
        </w:numPr>
        <w:tabs>
          <w:tab w:pos="2421" w:val="left" w:leader="none"/>
          <w:tab w:pos="2422" w:val="left" w:leader="none"/>
        </w:tabs>
        <w:spacing w:line="240" w:lineRule="auto" w:before="0" w:after="0"/>
        <w:ind w:left="2421" w:right="0" w:hanging="361"/>
        <w:jc w:val="left"/>
        <w:rPr>
          <w:sz w:val="20"/>
        </w:rPr>
      </w:pPr>
      <w:r>
        <w:rPr>
          <w:sz w:val="20"/>
        </w:rPr>
        <w:t>changing the definition of mead to conform with the definition in</w:t>
      </w:r>
      <w:r>
        <w:rPr>
          <w:spacing w:val="-14"/>
          <w:sz w:val="20"/>
        </w:rPr>
        <w:t> </w:t>
      </w:r>
      <w:r>
        <w:rPr>
          <w:sz w:val="20"/>
        </w:rPr>
        <w:t>the</w:t>
      </w:r>
    </w:p>
    <w:p>
      <w:pPr>
        <w:spacing w:before="1"/>
        <w:ind w:left="2476" w:right="0" w:firstLine="0"/>
        <w:jc w:val="left"/>
        <w:rPr>
          <w:sz w:val="20"/>
        </w:rPr>
      </w:pPr>
      <w:r>
        <w:rPr>
          <w:i/>
          <w:sz w:val="20"/>
        </w:rPr>
        <w:t>A New Tax System (Wine Equalisation Tax) Act 1999</w:t>
      </w:r>
      <w:r>
        <w:rPr>
          <w:sz w:val="20"/>
        </w:rPr>
        <w:t>;</w:t>
      </w:r>
    </w:p>
    <w:p>
      <w:pPr>
        <w:pStyle w:val="BodyText"/>
        <w:spacing w:before="10"/>
        <w:rPr>
          <w:sz w:val="19"/>
        </w:rPr>
      </w:pPr>
    </w:p>
    <w:p>
      <w:pPr>
        <w:pStyle w:val="ListParagraph"/>
        <w:numPr>
          <w:ilvl w:val="0"/>
          <w:numId w:val="1"/>
        </w:numPr>
        <w:tabs>
          <w:tab w:pos="2421" w:val="left" w:leader="none"/>
          <w:tab w:pos="2422" w:val="left" w:leader="none"/>
        </w:tabs>
        <w:spacing w:line="240" w:lineRule="auto" w:before="1" w:after="0"/>
        <w:ind w:left="2421" w:right="0" w:hanging="361"/>
        <w:jc w:val="left"/>
        <w:rPr>
          <w:sz w:val="20"/>
        </w:rPr>
      </w:pPr>
      <w:r>
        <w:rPr>
          <w:sz w:val="20"/>
        </w:rPr>
        <w:t>aligning the snuff tobacco rate with the ordinary tobacco rate of</w:t>
      </w:r>
      <w:r>
        <w:rPr>
          <w:spacing w:val="-21"/>
          <w:sz w:val="20"/>
        </w:rPr>
        <w:t> </w:t>
      </w:r>
      <w:r>
        <w:rPr>
          <w:sz w:val="20"/>
        </w:rPr>
        <w:t>$290.74/kg;</w:t>
      </w:r>
    </w:p>
    <w:p>
      <w:pPr>
        <w:pStyle w:val="BodyText"/>
      </w:pPr>
    </w:p>
    <w:p>
      <w:pPr>
        <w:pStyle w:val="ListParagraph"/>
        <w:numPr>
          <w:ilvl w:val="0"/>
          <w:numId w:val="1"/>
        </w:numPr>
        <w:tabs>
          <w:tab w:pos="2421" w:val="left" w:leader="none"/>
          <w:tab w:pos="2422" w:val="left" w:leader="none"/>
        </w:tabs>
        <w:spacing w:line="240" w:lineRule="auto" w:before="1" w:after="0"/>
        <w:ind w:left="2415" w:right="1755" w:hanging="357"/>
        <w:jc w:val="left"/>
        <w:rPr>
          <w:sz w:val="20"/>
        </w:rPr>
      </w:pPr>
      <w:r>
        <w:rPr>
          <w:sz w:val="20"/>
        </w:rPr>
        <w:t>changing the tobacco (not stemmed or stripped) rate from Free to $290.74/kg. This rate will be subject to indexation. This provision is designed to protect the revenue should any imported leaf be unaccounted for before excise</w:t>
      </w:r>
      <w:r>
        <w:rPr>
          <w:spacing w:val="-9"/>
          <w:sz w:val="20"/>
        </w:rPr>
        <w:t> </w:t>
      </w:r>
      <w:r>
        <w:rPr>
          <w:sz w:val="20"/>
        </w:rPr>
        <w:t>manufacture;</w:t>
      </w:r>
    </w:p>
    <w:p>
      <w:pPr>
        <w:pStyle w:val="BodyText"/>
        <w:spacing w:before="10"/>
        <w:rPr>
          <w:sz w:val="19"/>
        </w:rPr>
      </w:pPr>
    </w:p>
    <w:p>
      <w:pPr>
        <w:pStyle w:val="ListParagraph"/>
        <w:numPr>
          <w:ilvl w:val="0"/>
          <w:numId w:val="1"/>
        </w:numPr>
        <w:tabs>
          <w:tab w:pos="2421" w:val="left" w:leader="none"/>
          <w:tab w:pos="2422" w:val="left" w:leader="none"/>
        </w:tabs>
        <w:spacing w:line="240" w:lineRule="auto" w:before="0" w:after="0"/>
        <w:ind w:left="2421" w:right="2210" w:hanging="360"/>
        <w:jc w:val="left"/>
        <w:rPr>
          <w:sz w:val="20"/>
        </w:rPr>
      </w:pPr>
      <w:r>
        <w:rPr>
          <w:sz w:val="20"/>
        </w:rPr>
        <w:t>repealing items 44 and 67 of Schedule 4 to the Customs Tariff, that currently allow concessional importation, for excise equivalent goods that are for use in the manufacture of excisable goods;</w:t>
      </w:r>
      <w:r>
        <w:rPr>
          <w:spacing w:val="-4"/>
          <w:sz w:val="20"/>
        </w:rPr>
        <w:t> </w:t>
      </w:r>
      <w:r>
        <w:rPr>
          <w:sz w:val="20"/>
        </w:rPr>
        <w:t>and</w:t>
      </w:r>
    </w:p>
    <w:p>
      <w:pPr>
        <w:pStyle w:val="BodyText"/>
        <w:spacing w:before="4"/>
        <w:rPr>
          <w:sz w:val="19"/>
        </w:rPr>
      </w:pPr>
    </w:p>
    <w:p>
      <w:pPr>
        <w:pStyle w:val="ListParagraph"/>
        <w:numPr>
          <w:ilvl w:val="0"/>
          <w:numId w:val="1"/>
        </w:numPr>
        <w:tabs>
          <w:tab w:pos="2421" w:val="left" w:leader="none"/>
          <w:tab w:pos="2422" w:val="left" w:leader="none"/>
        </w:tabs>
        <w:spacing w:line="240" w:lineRule="auto" w:before="0" w:after="0"/>
        <w:ind w:left="2421" w:right="0" w:hanging="361"/>
        <w:jc w:val="left"/>
        <w:rPr>
          <w:sz w:val="22"/>
        </w:rPr>
      </w:pPr>
      <w:r>
        <w:rPr>
          <w:sz w:val="20"/>
        </w:rPr>
        <w:t>reclassifying biodiesel from Chapter 15 to Chapter 38 of the Customs</w:t>
      </w:r>
      <w:r>
        <w:rPr>
          <w:spacing w:val="-12"/>
          <w:sz w:val="20"/>
        </w:rPr>
        <w:t> </w:t>
      </w:r>
      <w:r>
        <w:rPr>
          <w:sz w:val="20"/>
        </w:rPr>
        <w:t>Tariff.</w:t>
      </w:r>
    </w:p>
    <w:p>
      <w:pPr>
        <w:pStyle w:val="BodyText"/>
        <w:spacing w:before="7"/>
        <w:rPr>
          <w:sz w:val="21"/>
        </w:rPr>
      </w:pPr>
    </w:p>
    <w:p>
      <w:pPr>
        <w:spacing w:before="0"/>
        <w:ind w:left="1701" w:right="2530" w:firstLine="0"/>
        <w:jc w:val="left"/>
        <w:rPr>
          <w:sz w:val="20"/>
        </w:rPr>
      </w:pPr>
      <w:r>
        <w:rPr>
          <w:sz w:val="20"/>
        </w:rPr>
        <w:t>The </w:t>
      </w:r>
      <w:r>
        <w:rPr>
          <w:i/>
          <w:sz w:val="20"/>
        </w:rPr>
        <w:t>Customs Tariff Amendment (Fuel Tax Reform and Other Measures) Act 2006 </w:t>
      </w:r>
      <w:r>
        <w:rPr>
          <w:sz w:val="20"/>
        </w:rPr>
        <w:t>also implements minor consequential amendments to the Customs Tariff including:</w:t>
      </w:r>
    </w:p>
    <w:p>
      <w:pPr>
        <w:pStyle w:val="BodyText"/>
      </w:pPr>
    </w:p>
    <w:p>
      <w:pPr>
        <w:pStyle w:val="ListParagraph"/>
        <w:numPr>
          <w:ilvl w:val="0"/>
          <w:numId w:val="1"/>
        </w:numPr>
        <w:tabs>
          <w:tab w:pos="2421" w:val="left" w:leader="none"/>
          <w:tab w:pos="2422" w:val="left" w:leader="none"/>
        </w:tabs>
        <w:spacing w:line="240" w:lineRule="auto" w:before="0" w:after="0"/>
        <w:ind w:left="2421" w:right="0" w:hanging="361"/>
        <w:jc w:val="left"/>
        <w:rPr>
          <w:sz w:val="20"/>
        </w:rPr>
      </w:pPr>
      <w:r>
        <w:rPr>
          <w:sz w:val="20"/>
        </w:rPr>
        <w:t>clarifying when the different rates of customs duty apply for different types of</w:t>
      </w:r>
      <w:r>
        <w:rPr>
          <w:spacing w:val="-22"/>
          <w:sz w:val="20"/>
        </w:rPr>
        <w:t> </w:t>
      </w:r>
      <w:r>
        <w:rPr>
          <w:sz w:val="20"/>
        </w:rPr>
        <w:t>beer;</w:t>
      </w:r>
    </w:p>
    <w:p>
      <w:pPr>
        <w:pStyle w:val="BodyText"/>
      </w:pPr>
    </w:p>
    <w:p>
      <w:pPr>
        <w:pStyle w:val="ListParagraph"/>
        <w:numPr>
          <w:ilvl w:val="0"/>
          <w:numId w:val="1"/>
        </w:numPr>
        <w:tabs>
          <w:tab w:pos="2421" w:val="left" w:leader="none"/>
          <w:tab w:pos="2422" w:val="left" w:leader="none"/>
        </w:tabs>
        <w:spacing w:line="240" w:lineRule="auto" w:before="0" w:after="0"/>
        <w:ind w:left="2421" w:right="2190" w:hanging="360"/>
        <w:jc w:val="left"/>
        <w:rPr>
          <w:sz w:val="20"/>
        </w:rPr>
      </w:pPr>
      <w:r>
        <w:rPr>
          <w:sz w:val="20"/>
        </w:rPr>
        <w:t>attaching a rate of customs duty of $0.38143/L for enriched crude not used as oil refinery feedstock. This will provide consistency with the rate of excise duty for this product imposed under the </w:t>
      </w:r>
      <w:r>
        <w:rPr>
          <w:i/>
          <w:sz w:val="20"/>
        </w:rPr>
        <w:t>Excise Tariff Act</w:t>
      </w:r>
      <w:r>
        <w:rPr>
          <w:i/>
          <w:spacing w:val="-8"/>
          <w:sz w:val="20"/>
        </w:rPr>
        <w:t> </w:t>
      </w:r>
      <w:r>
        <w:rPr>
          <w:i/>
          <w:sz w:val="20"/>
        </w:rPr>
        <w:t>1921</w:t>
      </w:r>
      <w:r>
        <w:rPr>
          <w:sz w:val="20"/>
        </w:rPr>
        <w:t>;</w:t>
      </w:r>
    </w:p>
    <w:p>
      <w:pPr>
        <w:pStyle w:val="BodyText"/>
      </w:pPr>
    </w:p>
    <w:p>
      <w:pPr>
        <w:pStyle w:val="ListParagraph"/>
        <w:numPr>
          <w:ilvl w:val="0"/>
          <w:numId w:val="1"/>
        </w:numPr>
        <w:tabs>
          <w:tab w:pos="2421" w:val="left" w:leader="none"/>
          <w:tab w:pos="2422" w:val="left" w:leader="none"/>
        </w:tabs>
        <w:spacing w:line="240" w:lineRule="auto" w:before="0" w:after="0"/>
        <w:ind w:left="2421" w:right="0" w:hanging="361"/>
        <w:jc w:val="left"/>
        <w:rPr>
          <w:sz w:val="20"/>
        </w:rPr>
      </w:pPr>
      <w:r>
        <w:rPr>
          <w:sz w:val="20"/>
        </w:rPr>
        <w:t>repealing Tariff subheadings for petroleum products in packages not</w:t>
      </w:r>
      <w:r>
        <w:rPr>
          <w:spacing w:val="-11"/>
          <w:sz w:val="20"/>
        </w:rPr>
        <w:t> </w:t>
      </w:r>
      <w:r>
        <w:rPr>
          <w:sz w:val="20"/>
        </w:rPr>
        <w:t>exceeding</w:t>
      </w:r>
    </w:p>
    <w:p>
      <w:pPr>
        <w:pStyle w:val="BodyText"/>
      </w:pPr>
    </w:p>
    <w:p>
      <w:pPr>
        <w:pStyle w:val="BodyText"/>
      </w:pPr>
    </w:p>
    <w:p>
      <w:pPr>
        <w:pStyle w:val="BodyText"/>
      </w:pPr>
    </w:p>
    <w:p>
      <w:pPr>
        <w:pStyle w:val="BodyText"/>
      </w:pPr>
    </w:p>
    <w:p>
      <w:pPr>
        <w:pStyle w:val="BodyText"/>
      </w:pPr>
    </w:p>
    <w:p>
      <w:pPr>
        <w:pStyle w:val="BodyText"/>
        <w:spacing w:before="2"/>
        <w:rPr>
          <w:sz w:val="12"/>
        </w:rPr>
      </w:pPr>
      <w:r>
        <w:rPr/>
        <w:drawing>
          <wp:anchor distT="0" distB="0" distL="0" distR="0" allowOverlap="1" layoutInCell="1" locked="0" behindDoc="0" simplePos="0" relativeHeight="1">
            <wp:simplePos x="0" y="0"/>
            <wp:positionH relativeFrom="page">
              <wp:posOffset>5556503</wp:posOffset>
            </wp:positionH>
            <wp:positionV relativeFrom="paragraph">
              <wp:posOffset>114191</wp:posOffset>
            </wp:positionV>
            <wp:extent cx="1620472" cy="1228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0472" cy="122872"/>
                    </a:xfrm>
                    <a:prstGeom prst="rect">
                      <a:avLst/>
                    </a:prstGeom>
                  </pic:spPr>
                </pic:pic>
              </a:graphicData>
            </a:graphic>
          </wp:anchor>
        </w:drawing>
      </w:r>
    </w:p>
    <w:p>
      <w:pPr>
        <w:spacing w:after="0"/>
        <w:rPr>
          <w:sz w:val="12"/>
        </w:rPr>
        <w:sectPr>
          <w:type w:val="continuous"/>
          <w:pgSz w:w="11910" w:h="16840"/>
          <w:pgMar w:top="860" w:bottom="280" w:left="0" w:right="0"/>
        </w:sectPr>
      </w:pPr>
    </w:p>
    <w:p>
      <w:pPr>
        <w:pStyle w:val="BodyText"/>
        <w:spacing w:before="67"/>
        <w:jc w:val="center"/>
      </w:pPr>
      <w:r>
        <w:rPr>
          <w:w w:val="100"/>
        </w:rPr>
        <w:t>2</w:t>
      </w:r>
    </w:p>
    <w:p>
      <w:pPr>
        <w:pStyle w:val="BodyText"/>
        <w:rPr>
          <w:sz w:val="22"/>
        </w:rPr>
      </w:pPr>
    </w:p>
    <w:p>
      <w:pPr>
        <w:pStyle w:val="BodyText"/>
        <w:spacing w:before="5"/>
        <w:rPr>
          <w:sz w:val="21"/>
        </w:rPr>
      </w:pPr>
    </w:p>
    <w:p>
      <w:pPr>
        <w:pStyle w:val="BodyText"/>
        <w:ind w:left="2421" w:right="1820"/>
      </w:pPr>
      <w:r>
        <w:rPr/>
        <w:t>210 litres and for petroleum products containing the marker specified under section 5C of the </w:t>
      </w:r>
      <w:r>
        <w:rPr>
          <w:i/>
        </w:rPr>
        <w:t>Excise Act 1901</w:t>
      </w:r>
      <w:r>
        <w:rPr/>
        <w:t>. Goods previously classified to these subheadings have their rate of customs duty increased from Free to $0.38143/L;</w:t>
      </w:r>
    </w:p>
    <w:p>
      <w:pPr>
        <w:pStyle w:val="BodyText"/>
        <w:spacing w:before="1"/>
      </w:pPr>
    </w:p>
    <w:p>
      <w:pPr>
        <w:pStyle w:val="ListParagraph"/>
        <w:numPr>
          <w:ilvl w:val="0"/>
          <w:numId w:val="1"/>
        </w:numPr>
        <w:tabs>
          <w:tab w:pos="2421" w:val="left" w:leader="none"/>
          <w:tab w:pos="2422" w:val="left" w:leader="none"/>
        </w:tabs>
        <w:spacing w:line="240" w:lineRule="auto" w:before="0" w:after="0"/>
        <w:ind w:left="2421" w:right="1735" w:hanging="360"/>
        <w:jc w:val="left"/>
        <w:rPr>
          <w:sz w:val="20"/>
        </w:rPr>
      </w:pPr>
      <w:r>
        <w:rPr>
          <w:sz w:val="20"/>
        </w:rPr>
        <w:t>amending the rate of customs duty for petroleum products to which the ‘burner fuel rate’ applies from $0.07557/L to $0.38143/L in line with the Government’s fuel tax reform measures;</w:t>
      </w:r>
      <w:r>
        <w:rPr>
          <w:spacing w:val="-2"/>
          <w:sz w:val="20"/>
        </w:rPr>
        <w:t> </w:t>
      </w:r>
      <w:r>
        <w:rPr>
          <w:sz w:val="20"/>
        </w:rPr>
        <w:t>and</w:t>
      </w:r>
    </w:p>
    <w:p>
      <w:pPr>
        <w:pStyle w:val="BodyText"/>
        <w:spacing w:before="11"/>
        <w:rPr>
          <w:sz w:val="19"/>
        </w:rPr>
      </w:pPr>
    </w:p>
    <w:p>
      <w:pPr>
        <w:pStyle w:val="ListParagraph"/>
        <w:numPr>
          <w:ilvl w:val="0"/>
          <w:numId w:val="1"/>
        </w:numPr>
        <w:tabs>
          <w:tab w:pos="2421" w:val="left" w:leader="none"/>
          <w:tab w:pos="2422" w:val="left" w:leader="none"/>
        </w:tabs>
        <w:spacing w:line="240" w:lineRule="auto" w:before="0" w:after="0"/>
        <w:ind w:left="2421" w:right="1709" w:hanging="360"/>
        <w:jc w:val="left"/>
        <w:rPr>
          <w:sz w:val="20"/>
        </w:rPr>
      </w:pPr>
      <w:r>
        <w:rPr>
          <w:sz w:val="20"/>
        </w:rPr>
        <w:t>amending item 50(1) to Schedule 4 so as to prevent the entry into home consumption of alkylbenzenes subject to a Tariff Concession Order (TCO) without payment of the excise equivalent rate of duty of 38.143 cents per litre. New item 50(1A) will provide the mechanism for the continued use of TCOs for these goods, but imposes the rate</w:t>
      </w:r>
      <w:r>
        <w:rPr>
          <w:spacing w:val="-26"/>
          <w:sz w:val="20"/>
        </w:rPr>
        <w:t> </w:t>
      </w:r>
      <w:r>
        <w:rPr>
          <w:sz w:val="20"/>
        </w:rPr>
        <w:t>of</w:t>
      </w:r>
    </w:p>
    <w:p>
      <w:pPr>
        <w:pStyle w:val="BodyText"/>
        <w:ind w:left="2421" w:right="1918"/>
      </w:pPr>
      <w:r>
        <w:rPr/>
        <w:t>38.143 cents per litre. Two TCOs for alkybenzenes will be revoked and reissued to take account of the amendment to Tariff heading 3817 in respect of these goods.</w:t>
      </w:r>
    </w:p>
    <w:p>
      <w:pPr>
        <w:pStyle w:val="BodyText"/>
      </w:pPr>
    </w:p>
    <w:p>
      <w:pPr>
        <w:spacing w:before="0"/>
        <w:ind w:left="1701" w:right="2074" w:firstLine="0"/>
        <w:jc w:val="left"/>
        <w:rPr>
          <w:sz w:val="20"/>
        </w:rPr>
      </w:pPr>
      <w:r>
        <w:rPr>
          <w:sz w:val="20"/>
        </w:rPr>
        <w:t>The </w:t>
      </w:r>
      <w:r>
        <w:rPr>
          <w:i/>
          <w:sz w:val="20"/>
        </w:rPr>
        <w:t>Excise Tariff Amendment (Fuel Tax Reform and Other Measures) Act 2006 </w:t>
      </w:r>
      <w:r>
        <w:rPr>
          <w:sz w:val="20"/>
        </w:rPr>
        <w:t>implements equivalent changes in the </w:t>
      </w:r>
      <w:r>
        <w:rPr>
          <w:i/>
          <w:sz w:val="20"/>
        </w:rPr>
        <w:t>Excise Tariff Act 1921</w:t>
      </w:r>
      <w:r>
        <w:rPr>
          <w:sz w:val="20"/>
        </w:rPr>
        <w:t>.</w:t>
      </w:r>
    </w:p>
    <w:p>
      <w:pPr>
        <w:pStyle w:val="BodyText"/>
      </w:pPr>
    </w:p>
    <w:p>
      <w:pPr>
        <w:pStyle w:val="BodyText"/>
        <w:spacing w:line="480" w:lineRule="auto"/>
        <w:ind w:left="1701" w:right="3752"/>
      </w:pPr>
      <w:r>
        <w:rPr/>
        <w:pict>
          <v:shapetype id="_x0000_t202" o:spt="202" coordsize="21600,21600" path="m,l,21600r21600,l21600,xe">
            <v:stroke joinstyle="miter"/>
            <v:path gradientshapeok="t" o:connecttype="rect"/>
          </v:shapetype>
          <v:shape style="position:absolute;margin-left:75.079903pt;margin-top:34.809975pt;width:181.55pt;height:11.2pt;mso-position-horizontal-relative:page;mso-position-vertical-relative:paragraph;z-index:157301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0"/>
                    <w:gridCol w:w="1870"/>
                  </w:tblGrid>
                  <w:tr>
                    <w:trPr>
                      <w:trHeight w:val="223" w:hRule="atLeast"/>
                    </w:trPr>
                    <w:tc>
                      <w:tcPr>
                        <w:tcW w:w="1760" w:type="dxa"/>
                      </w:tcPr>
                      <w:p>
                        <w:pPr>
                          <w:pStyle w:val="TableParagraph"/>
                          <w:spacing w:line="204" w:lineRule="exact"/>
                          <w:rPr>
                            <w:sz w:val="20"/>
                          </w:rPr>
                        </w:pPr>
                        <w:r>
                          <w:rPr>
                            <w:sz w:val="20"/>
                          </w:rPr>
                          <w:t>Page 9 (R.7)</w:t>
                        </w:r>
                      </w:p>
                    </w:tc>
                    <w:tc>
                      <w:tcPr>
                        <w:tcW w:w="1870" w:type="dxa"/>
                      </w:tcPr>
                      <w:p>
                        <w:pPr>
                          <w:pStyle w:val="TableParagraph"/>
                          <w:spacing w:line="204" w:lineRule="exact"/>
                          <w:ind w:left="425"/>
                          <w:rPr>
                            <w:sz w:val="20"/>
                          </w:rPr>
                        </w:pPr>
                        <w:r>
                          <w:rPr>
                            <w:sz w:val="20"/>
                          </w:rPr>
                          <w:t>Page 19 (R.2)</w:t>
                        </w:r>
                      </w:p>
                    </w:tc>
                  </w:tr>
                </w:tbl>
                <w:p>
                  <w:pPr>
                    <w:pStyle w:val="BodyText"/>
                  </w:pPr>
                </w:p>
              </w:txbxContent>
            </v:textbox>
            <w10:wrap type="none"/>
          </v:shape>
        </w:pict>
      </w:r>
      <w:r>
        <w:rPr/>
        <w:t>Customs Tariff pages to be issued in connection with these changes are: </w:t>
      </w:r>
      <w:r>
        <w:rPr>
          <w:u w:val="single"/>
        </w:rPr>
        <w:t>Customs Tariff Act</w:t>
      </w:r>
    </w:p>
    <w:p>
      <w:pPr>
        <w:pStyle w:val="BodyText"/>
      </w:pPr>
    </w:p>
    <w:p>
      <w:pPr>
        <w:pStyle w:val="BodyText"/>
        <w:spacing w:after="7"/>
        <w:ind w:left="1701"/>
      </w:pPr>
      <w:r>
        <w:rPr>
          <w:u w:val="single"/>
        </w:rPr>
        <w:t>Schedule 3 – tariff classifications and applicable rates of duty</w:t>
      </w: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8"/>
        <w:gridCol w:w="1984"/>
        <w:gridCol w:w="1985"/>
        <w:gridCol w:w="1749"/>
      </w:tblGrid>
      <w:tr>
        <w:trPr>
          <w:trHeight w:val="226" w:hRule="atLeast"/>
        </w:trPr>
        <w:tc>
          <w:tcPr>
            <w:tcW w:w="1748" w:type="dxa"/>
          </w:tcPr>
          <w:p>
            <w:pPr>
              <w:pStyle w:val="TableParagraph"/>
              <w:spacing w:line="207" w:lineRule="exact"/>
              <w:rPr>
                <w:sz w:val="20"/>
              </w:rPr>
            </w:pPr>
            <w:r>
              <w:rPr>
                <w:sz w:val="20"/>
              </w:rPr>
              <w:t>15/1 (R.4)</w:t>
            </w:r>
          </w:p>
        </w:tc>
        <w:tc>
          <w:tcPr>
            <w:tcW w:w="1984" w:type="dxa"/>
          </w:tcPr>
          <w:p>
            <w:pPr>
              <w:pStyle w:val="TableParagraph"/>
              <w:spacing w:line="207" w:lineRule="exact"/>
              <w:ind w:left="436"/>
              <w:rPr>
                <w:sz w:val="20"/>
              </w:rPr>
            </w:pPr>
            <w:r>
              <w:rPr>
                <w:sz w:val="20"/>
              </w:rPr>
              <w:t>15/7 (R.3)</w:t>
            </w:r>
          </w:p>
        </w:tc>
        <w:tc>
          <w:tcPr>
            <w:tcW w:w="1985" w:type="dxa"/>
          </w:tcPr>
          <w:p>
            <w:pPr>
              <w:pStyle w:val="TableParagraph"/>
              <w:spacing w:line="207" w:lineRule="exact"/>
              <w:ind w:left="436"/>
              <w:rPr>
                <w:sz w:val="20"/>
              </w:rPr>
            </w:pPr>
            <w:r>
              <w:rPr>
                <w:sz w:val="20"/>
              </w:rPr>
              <w:t>22/3 (R.9)</w:t>
            </w:r>
          </w:p>
        </w:tc>
        <w:tc>
          <w:tcPr>
            <w:tcW w:w="1749" w:type="dxa"/>
          </w:tcPr>
          <w:p>
            <w:pPr>
              <w:pStyle w:val="TableParagraph"/>
              <w:spacing w:line="207" w:lineRule="exact"/>
              <w:ind w:left="437"/>
              <w:rPr>
                <w:sz w:val="20"/>
              </w:rPr>
            </w:pPr>
            <w:r>
              <w:rPr>
                <w:sz w:val="20"/>
              </w:rPr>
              <w:t>22/5 (R.23)</w:t>
            </w:r>
          </w:p>
        </w:tc>
      </w:tr>
      <w:tr>
        <w:trPr>
          <w:trHeight w:val="229" w:hRule="atLeast"/>
        </w:trPr>
        <w:tc>
          <w:tcPr>
            <w:tcW w:w="1748" w:type="dxa"/>
          </w:tcPr>
          <w:p>
            <w:pPr>
              <w:pStyle w:val="TableParagraph"/>
              <w:rPr>
                <w:sz w:val="20"/>
              </w:rPr>
            </w:pPr>
            <w:r>
              <w:rPr>
                <w:sz w:val="20"/>
              </w:rPr>
              <w:t>22/7 (R.24)</w:t>
            </w:r>
          </w:p>
        </w:tc>
        <w:tc>
          <w:tcPr>
            <w:tcW w:w="1984" w:type="dxa"/>
          </w:tcPr>
          <w:p>
            <w:pPr>
              <w:pStyle w:val="TableParagraph"/>
              <w:ind w:left="435"/>
              <w:rPr>
                <w:sz w:val="20"/>
              </w:rPr>
            </w:pPr>
            <w:r>
              <w:rPr>
                <w:sz w:val="20"/>
              </w:rPr>
              <w:t>22/9 (R.24)</w:t>
            </w:r>
          </w:p>
        </w:tc>
        <w:tc>
          <w:tcPr>
            <w:tcW w:w="1985" w:type="dxa"/>
          </w:tcPr>
          <w:p>
            <w:pPr>
              <w:pStyle w:val="TableParagraph"/>
              <w:ind w:left="435"/>
              <w:rPr>
                <w:sz w:val="20"/>
              </w:rPr>
            </w:pPr>
            <w:r>
              <w:rPr>
                <w:sz w:val="20"/>
              </w:rPr>
              <w:t>22/11 (R.14)</w:t>
            </w:r>
          </w:p>
        </w:tc>
        <w:tc>
          <w:tcPr>
            <w:tcW w:w="1749" w:type="dxa"/>
          </w:tcPr>
          <w:p>
            <w:pPr>
              <w:pStyle w:val="TableParagraph"/>
              <w:ind w:left="437"/>
              <w:rPr>
                <w:sz w:val="20"/>
              </w:rPr>
            </w:pPr>
            <w:r>
              <w:rPr>
                <w:sz w:val="20"/>
              </w:rPr>
              <w:t>22/13 (R.13)</w:t>
            </w:r>
          </w:p>
        </w:tc>
      </w:tr>
      <w:tr>
        <w:trPr>
          <w:trHeight w:val="230" w:hRule="atLeast"/>
        </w:trPr>
        <w:tc>
          <w:tcPr>
            <w:tcW w:w="1748" w:type="dxa"/>
          </w:tcPr>
          <w:p>
            <w:pPr>
              <w:pStyle w:val="TableParagraph"/>
              <w:rPr>
                <w:sz w:val="20"/>
              </w:rPr>
            </w:pPr>
            <w:r>
              <w:rPr>
                <w:sz w:val="20"/>
              </w:rPr>
              <w:t>22/15 (R.14)</w:t>
            </w:r>
          </w:p>
        </w:tc>
        <w:tc>
          <w:tcPr>
            <w:tcW w:w="1984" w:type="dxa"/>
          </w:tcPr>
          <w:p>
            <w:pPr>
              <w:pStyle w:val="TableParagraph"/>
              <w:ind w:left="436"/>
              <w:rPr>
                <w:sz w:val="20"/>
              </w:rPr>
            </w:pPr>
            <w:r>
              <w:rPr>
                <w:sz w:val="20"/>
              </w:rPr>
              <w:t>22/17 (R.16)</w:t>
            </w:r>
          </w:p>
        </w:tc>
        <w:tc>
          <w:tcPr>
            <w:tcW w:w="1985" w:type="dxa"/>
          </w:tcPr>
          <w:p>
            <w:pPr>
              <w:pStyle w:val="TableParagraph"/>
              <w:ind w:left="437"/>
              <w:rPr>
                <w:sz w:val="20"/>
              </w:rPr>
            </w:pPr>
            <w:r>
              <w:rPr>
                <w:sz w:val="20"/>
              </w:rPr>
              <w:t>22/19 (R.16)</w:t>
            </w:r>
          </w:p>
        </w:tc>
        <w:tc>
          <w:tcPr>
            <w:tcW w:w="1749" w:type="dxa"/>
          </w:tcPr>
          <w:p>
            <w:pPr>
              <w:pStyle w:val="TableParagraph"/>
              <w:ind w:left="438"/>
              <w:rPr>
                <w:sz w:val="20"/>
              </w:rPr>
            </w:pPr>
            <w:r>
              <w:rPr>
                <w:sz w:val="20"/>
              </w:rPr>
              <w:t>22/21 (R.15)</w:t>
            </w:r>
          </w:p>
        </w:tc>
      </w:tr>
      <w:tr>
        <w:trPr>
          <w:trHeight w:val="229" w:hRule="atLeast"/>
        </w:trPr>
        <w:tc>
          <w:tcPr>
            <w:tcW w:w="1748" w:type="dxa"/>
          </w:tcPr>
          <w:p>
            <w:pPr>
              <w:pStyle w:val="TableParagraph"/>
              <w:rPr>
                <w:sz w:val="20"/>
              </w:rPr>
            </w:pPr>
            <w:r>
              <w:rPr>
                <w:sz w:val="20"/>
              </w:rPr>
              <w:t>24/3 (R.24)</w:t>
            </w:r>
          </w:p>
        </w:tc>
        <w:tc>
          <w:tcPr>
            <w:tcW w:w="1984" w:type="dxa"/>
          </w:tcPr>
          <w:p>
            <w:pPr>
              <w:pStyle w:val="TableParagraph"/>
              <w:ind w:left="436"/>
              <w:rPr>
                <w:sz w:val="20"/>
              </w:rPr>
            </w:pPr>
            <w:r>
              <w:rPr>
                <w:sz w:val="20"/>
              </w:rPr>
              <w:t>27/1 (R.6)</w:t>
            </w:r>
          </w:p>
        </w:tc>
        <w:tc>
          <w:tcPr>
            <w:tcW w:w="1985" w:type="dxa"/>
          </w:tcPr>
          <w:p>
            <w:pPr>
              <w:pStyle w:val="TableParagraph"/>
              <w:ind w:left="436"/>
              <w:rPr>
                <w:sz w:val="20"/>
              </w:rPr>
            </w:pPr>
            <w:r>
              <w:rPr>
                <w:sz w:val="20"/>
              </w:rPr>
              <w:t>27/3 (R.18)</w:t>
            </w:r>
          </w:p>
        </w:tc>
        <w:tc>
          <w:tcPr>
            <w:tcW w:w="1749" w:type="dxa"/>
          </w:tcPr>
          <w:p>
            <w:pPr>
              <w:pStyle w:val="TableParagraph"/>
              <w:ind w:left="437"/>
              <w:rPr>
                <w:sz w:val="20"/>
              </w:rPr>
            </w:pPr>
            <w:r>
              <w:rPr>
                <w:sz w:val="20"/>
              </w:rPr>
              <w:t>27/5 (R.23)</w:t>
            </w:r>
          </w:p>
        </w:tc>
      </w:tr>
      <w:tr>
        <w:trPr>
          <w:trHeight w:val="229" w:hRule="atLeast"/>
        </w:trPr>
        <w:tc>
          <w:tcPr>
            <w:tcW w:w="1748" w:type="dxa"/>
          </w:tcPr>
          <w:p>
            <w:pPr>
              <w:pStyle w:val="TableParagraph"/>
              <w:rPr>
                <w:sz w:val="20"/>
              </w:rPr>
            </w:pPr>
            <w:r>
              <w:rPr>
                <w:sz w:val="20"/>
              </w:rPr>
              <w:t>27/7 (R.19)</w:t>
            </w:r>
          </w:p>
        </w:tc>
        <w:tc>
          <w:tcPr>
            <w:tcW w:w="1984" w:type="dxa"/>
          </w:tcPr>
          <w:p>
            <w:pPr>
              <w:pStyle w:val="TableParagraph"/>
              <w:ind w:left="436"/>
              <w:rPr>
                <w:sz w:val="20"/>
              </w:rPr>
            </w:pPr>
            <w:r>
              <w:rPr>
                <w:sz w:val="20"/>
              </w:rPr>
              <w:t>27/9 (R.17)</w:t>
            </w:r>
          </w:p>
        </w:tc>
        <w:tc>
          <w:tcPr>
            <w:tcW w:w="1985" w:type="dxa"/>
          </w:tcPr>
          <w:p>
            <w:pPr>
              <w:pStyle w:val="TableParagraph"/>
              <w:ind w:left="436"/>
              <w:rPr>
                <w:sz w:val="20"/>
              </w:rPr>
            </w:pPr>
            <w:r>
              <w:rPr>
                <w:sz w:val="20"/>
              </w:rPr>
              <w:t>27/11 (R.6)</w:t>
            </w:r>
          </w:p>
        </w:tc>
        <w:tc>
          <w:tcPr>
            <w:tcW w:w="1749" w:type="dxa"/>
          </w:tcPr>
          <w:p>
            <w:pPr>
              <w:pStyle w:val="TableParagraph"/>
              <w:ind w:left="438"/>
              <w:rPr>
                <w:sz w:val="20"/>
              </w:rPr>
            </w:pPr>
            <w:r>
              <w:rPr>
                <w:sz w:val="20"/>
              </w:rPr>
              <w:t>27/13 (R.7)</w:t>
            </w:r>
          </w:p>
        </w:tc>
      </w:tr>
      <w:tr>
        <w:trPr>
          <w:trHeight w:val="230" w:hRule="atLeast"/>
        </w:trPr>
        <w:tc>
          <w:tcPr>
            <w:tcW w:w="1748" w:type="dxa"/>
          </w:tcPr>
          <w:p>
            <w:pPr>
              <w:pStyle w:val="TableParagraph"/>
              <w:rPr>
                <w:sz w:val="20"/>
              </w:rPr>
            </w:pPr>
            <w:r>
              <w:rPr>
                <w:sz w:val="20"/>
              </w:rPr>
              <w:t>29/7 (R.13)</w:t>
            </w:r>
          </w:p>
        </w:tc>
        <w:tc>
          <w:tcPr>
            <w:tcW w:w="1984" w:type="dxa"/>
          </w:tcPr>
          <w:p>
            <w:pPr>
              <w:pStyle w:val="TableParagraph"/>
              <w:ind w:left="436"/>
              <w:rPr>
                <w:sz w:val="20"/>
              </w:rPr>
            </w:pPr>
            <w:r>
              <w:rPr>
                <w:sz w:val="20"/>
              </w:rPr>
              <w:t>34/3 (R.12)</w:t>
            </w:r>
          </w:p>
        </w:tc>
        <w:tc>
          <w:tcPr>
            <w:tcW w:w="1985" w:type="dxa"/>
          </w:tcPr>
          <w:p>
            <w:pPr>
              <w:pStyle w:val="TableParagraph"/>
              <w:ind w:left="436"/>
              <w:rPr>
                <w:sz w:val="20"/>
              </w:rPr>
            </w:pPr>
            <w:r>
              <w:rPr>
                <w:sz w:val="20"/>
              </w:rPr>
              <w:t>34/5 (R.11)</w:t>
            </w:r>
          </w:p>
        </w:tc>
        <w:tc>
          <w:tcPr>
            <w:tcW w:w="1749" w:type="dxa"/>
          </w:tcPr>
          <w:p>
            <w:pPr>
              <w:pStyle w:val="TableParagraph"/>
              <w:ind w:left="436"/>
              <w:rPr>
                <w:sz w:val="20"/>
              </w:rPr>
            </w:pPr>
            <w:r>
              <w:rPr>
                <w:sz w:val="20"/>
              </w:rPr>
              <w:t>38/3 (R.6)</w:t>
            </w:r>
          </w:p>
        </w:tc>
      </w:tr>
      <w:tr>
        <w:trPr>
          <w:trHeight w:val="227" w:hRule="atLeast"/>
        </w:trPr>
        <w:tc>
          <w:tcPr>
            <w:tcW w:w="1748" w:type="dxa"/>
          </w:tcPr>
          <w:p>
            <w:pPr>
              <w:pStyle w:val="TableParagraph"/>
              <w:spacing w:line="207" w:lineRule="exact"/>
              <w:rPr>
                <w:sz w:val="20"/>
              </w:rPr>
            </w:pPr>
            <w:r>
              <w:rPr>
                <w:sz w:val="20"/>
              </w:rPr>
              <w:t>38/9 (R.9)</w:t>
            </w:r>
          </w:p>
        </w:tc>
        <w:tc>
          <w:tcPr>
            <w:tcW w:w="1984" w:type="dxa"/>
          </w:tcPr>
          <w:p>
            <w:pPr>
              <w:pStyle w:val="TableParagraph"/>
              <w:spacing w:line="207" w:lineRule="exact"/>
              <w:ind w:left="436"/>
              <w:rPr>
                <w:sz w:val="20"/>
              </w:rPr>
            </w:pPr>
            <w:r>
              <w:rPr>
                <w:sz w:val="20"/>
              </w:rPr>
              <w:t>38/13 (R.5)</w:t>
            </w:r>
          </w:p>
        </w:tc>
        <w:tc>
          <w:tcPr>
            <w:tcW w:w="1985" w:type="dxa"/>
          </w:tcPr>
          <w:p>
            <w:pPr>
              <w:pStyle w:val="TableParagraph"/>
              <w:spacing w:line="240" w:lineRule="auto"/>
              <w:ind w:left="0"/>
              <w:rPr>
                <w:rFonts w:ascii="Times New Roman"/>
                <w:sz w:val="16"/>
              </w:rPr>
            </w:pPr>
          </w:p>
        </w:tc>
        <w:tc>
          <w:tcPr>
            <w:tcW w:w="1749" w:type="dxa"/>
          </w:tcPr>
          <w:p>
            <w:pPr>
              <w:pStyle w:val="TableParagraph"/>
              <w:spacing w:line="240" w:lineRule="auto"/>
              <w:ind w:left="0"/>
              <w:rPr>
                <w:rFonts w:ascii="Times New Roman"/>
                <w:sz w:val="16"/>
              </w:rPr>
            </w:pPr>
          </w:p>
        </w:tc>
      </w:tr>
    </w:tbl>
    <w:p>
      <w:pPr>
        <w:pStyle w:val="BodyText"/>
        <w:spacing w:before="11"/>
        <w:rPr>
          <w:sz w:val="19"/>
        </w:rPr>
      </w:pPr>
    </w:p>
    <w:p>
      <w:pPr>
        <w:pStyle w:val="BodyText"/>
        <w:spacing w:after="5"/>
        <w:ind w:left="1701"/>
      </w:pPr>
      <w:r>
        <w:rPr>
          <w:u w:val="single"/>
        </w:rPr>
        <w:t>Schedule 4 - concessional rates of duty</w:t>
      </w: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3"/>
        <w:gridCol w:w="1984"/>
        <w:gridCol w:w="1581"/>
      </w:tblGrid>
      <w:tr>
        <w:trPr>
          <w:trHeight w:val="223" w:hRule="atLeast"/>
        </w:trPr>
        <w:tc>
          <w:tcPr>
            <w:tcW w:w="1693" w:type="dxa"/>
          </w:tcPr>
          <w:p>
            <w:pPr>
              <w:pStyle w:val="TableParagraph"/>
              <w:spacing w:line="204" w:lineRule="exact"/>
              <w:rPr>
                <w:sz w:val="20"/>
              </w:rPr>
            </w:pPr>
            <w:r>
              <w:rPr>
                <w:sz w:val="20"/>
              </w:rPr>
              <w:t>4/21 (R.12)</w:t>
            </w:r>
          </w:p>
        </w:tc>
        <w:tc>
          <w:tcPr>
            <w:tcW w:w="1984" w:type="dxa"/>
          </w:tcPr>
          <w:p>
            <w:pPr>
              <w:pStyle w:val="TableParagraph"/>
              <w:spacing w:line="204" w:lineRule="exact"/>
              <w:ind w:left="491"/>
              <w:rPr>
                <w:sz w:val="20"/>
              </w:rPr>
            </w:pPr>
            <w:r>
              <w:rPr>
                <w:sz w:val="20"/>
              </w:rPr>
              <w:t>4/25 (R.13)</w:t>
            </w:r>
          </w:p>
        </w:tc>
        <w:tc>
          <w:tcPr>
            <w:tcW w:w="1581" w:type="dxa"/>
          </w:tcPr>
          <w:p>
            <w:pPr>
              <w:pStyle w:val="TableParagraph"/>
              <w:spacing w:line="204" w:lineRule="exact"/>
              <w:ind w:left="491"/>
              <w:rPr>
                <w:sz w:val="20"/>
              </w:rPr>
            </w:pPr>
            <w:r>
              <w:rPr>
                <w:sz w:val="20"/>
              </w:rPr>
              <w:t>4/33 (R.8)</w:t>
            </w:r>
          </w:p>
        </w:tc>
      </w:tr>
    </w:tbl>
    <w:p>
      <w:pPr>
        <w:pStyle w:val="BodyText"/>
      </w:pPr>
    </w:p>
    <w:p>
      <w:pPr>
        <w:pStyle w:val="BodyText"/>
        <w:spacing w:line="720" w:lineRule="auto"/>
        <w:ind w:left="1701" w:right="1806"/>
      </w:pPr>
      <w:r>
        <w:rPr/>
        <w:pict>
          <v:shape style="position:absolute;margin-left:75.080101pt;margin-top:11.768947pt;width:356.7pt;height:11.2pt;mso-position-horizontal-relative:page;mso-position-vertical-relative:paragraph;z-index:157306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2"/>
                    <w:gridCol w:w="1985"/>
                    <w:gridCol w:w="1986"/>
                    <w:gridCol w:w="1583"/>
                  </w:tblGrid>
                  <w:tr>
                    <w:trPr>
                      <w:trHeight w:val="223" w:hRule="atLeast"/>
                    </w:trPr>
                    <w:tc>
                      <w:tcPr>
                        <w:tcW w:w="1582" w:type="dxa"/>
                      </w:tcPr>
                      <w:p>
                        <w:pPr>
                          <w:pStyle w:val="TableParagraph"/>
                          <w:spacing w:line="204" w:lineRule="exact"/>
                          <w:rPr>
                            <w:sz w:val="20"/>
                          </w:rPr>
                        </w:pPr>
                        <w:r>
                          <w:rPr>
                            <w:sz w:val="20"/>
                          </w:rPr>
                          <w:t>5/1 (R.4)</w:t>
                        </w:r>
                      </w:p>
                    </w:tc>
                    <w:tc>
                      <w:tcPr>
                        <w:tcW w:w="1985" w:type="dxa"/>
                      </w:tcPr>
                      <w:p>
                        <w:pPr>
                          <w:pStyle w:val="TableParagraph"/>
                          <w:spacing w:line="204" w:lineRule="exact"/>
                          <w:ind w:left="602"/>
                          <w:rPr>
                            <w:sz w:val="20"/>
                          </w:rPr>
                        </w:pPr>
                        <w:r>
                          <w:rPr>
                            <w:sz w:val="20"/>
                          </w:rPr>
                          <w:t>5/3 (R.5)</w:t>
                        </w:r>
                      </w:p>
                    </w:tc>
                    <w:tc>
                      <w:tcPr>
                        <w:tcW w:w="1986" w:type="dxa"/>
                      </w:tcPr>
                      <w:p>
                        <w:pPr>
                          <w:pStyle w:val="TableParagraph"/>
                          <w:spacing w:line="204" w:lineRule="exact"/>
                          <w:ind w:left="602"/>
                          <w:rPr>
                            <w:sz w:val="20"/>
                          </w:rPr>
                        </w:pPr>
                        <w:r>
                          <w:rPr>
                            <w:sz w:val="20"/>
                          </w:rPr>
                          <w:t>5/5 (R.2)</w:t>
                        </w:r>
                      </w:p>
                    </w:tc>
                    <w:tc>
                      <w:tcPr>
                        <w:tcW w:w="1583" w:type="dxa"/>
                      </w:tcPr>
                      <w:p>
                        <w:pPr>
                          <w:pStyle w:val="TableParagraph"/>
                          <w:spacing w:line="204" w:lineRule="exact"/>
                          <w:ind w:left="601"/>
                          <w:rPr>
                            <w:sz w:val="20"/>
                          </w:rPr>
                        </w:pPr>
                        <w:r>
                          <w:rPr>
                            <w:sz w:val="20"/>
                          </w:rPr>
                          <w:t>5/7 (R.1)</w:t>
                        </w:r>
                      </w:p>
                    </w:tc>
                  </w:tr>
                </w:tbl>
                <w:p>
                  <w:pPr>
                    <w:pStyle w:val="BodyText"/>
                  </w:pPr>
                </w:p>
              </w:txbxContent>
            </v:textbox>
            <w10:wrap type="none"/>
          </v:shape>
        </w:pict>
      </w:r>
      <w:r>
        <w:rPr/>
        <w:pict>
          <v:shape style="position:absolute;margin-left:75.080002pt;margin-top:46.269047pt;width:356.7pt;height:22.75pt;mso-position-horizontal-relative:page;mso-position-vertical-relative:paragraph;z-index:157312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2"/>
                    <w:gridCol w:w="1985"/>
                    <w:gridCol w:w="1986"/>
                    <w:gridCol w:w="1583"/>
                  </w:tblGrid>
                  <w:tr>
                    <w:trPr>
                      <w:trHeight w:val="227" w:hRule="atLeast"/>
                    </w:trPr>
                    <w:tc>
                      <w:tcPr>
                        <w:tcW w:w="1582" w:type="dxa"/>
                      </w:tcPr>
                      <w:p>
                        <w:pPr>
                          <w:pStyle w:val="TableParagraph"/>
                          <w:spacing w:line="207" w:lineRule="exact"/>
                          <w:rPr>
                            <w:sz w:val="20"/>
                          </w:rPr>
                        </w:pPr>
                        <w:r>
                          <w:rPr>
                            <w:sz w:val="20"/>
                          </w:rPr>
                          <w:t>6/1 (R.4)</w:t>
                        </w:r>
                      </w:p>
                    </w:tc>
                    <w:tc>
                      <w:tcPr>
                        <w:tcW w:w="1985" w:type="dxa"/>
                      </w:tcPr>
                      <w:p>
                        <w:pPr>
                          <w:pStyle w:val="TableParagraph"/>
                          <w:spacing w:line="207" w:lineRule="exact"/>
                          <w:ind w:left="602"/>
                          <w:rPr>
                            <w:sz w:val="20"/>
                          </w:rPr>
                        </w:pPr>
                        <w:r>
                          <w:rPr>
                            <w:sz w:val="20"/>
                          </w:rPr>
                          <w:t>6/3 (R.5)</w:t>
                        </w:r>
                      </w:p>
                    </w:tc>
                    <w:tc>
                      <w:tcPr>
                        <w:tcW w:w="1986" w:type="dxa"/>
                      </w:tcPr>
                      <w:p>
                        <w:pPr>
                          <w:pStyle w:val="TableParagraph"/>
                          <w:spacing w:line="207" w:lineRule="exact"/>
                          <w:ind w:left="602"/>
                          <w:rPr>
                            <w:sz w:val="20"/>
                          </w:rPr>
                        </w:pPr>
                        <w:r>
                          <w:rPr>
                            <w:sz w:val="20"/>
                          </w:rPr>
                          <w:t>6/5 (R.2)</w:t>
                        </w:r>
                      </w:p>
                    </w:tc>
                    <w:tc>
                      <w:tcPr>
                        <w:tcW w:w="1583" w:type="dxa"/>
                      </w:tcPr>
                      <w:p>
                        <w:pPr>
                          <w:pStyle w:val="TableParagraph"/>
                          <w:spacing w:line="207" w:lineRule="exact"/>
                          <w:ind w:left="601"/>
                          <w:rPr>
                            <w:sz w:val="20"/>
                          </w:rPr>
                        </w:pPr>
                        <w:r>
                          <w:rPr>
                            <w:sz w:val="20"/>
                          </w:rPr>
                          <w:t>6/7 (R.1)</w:t>
                        </w:r>
                      </w:p>
                    </w:tc>
                  </w:tr>
                  <w:tr>
                    <w:trPr>
                      <w:trHeight w:val="227" w:hRule="atLeast"/>
                    </w:trPr>
                    <w:tc>
                      <w:tcPr>
                        <w:tcW w:w="1582" w:type="dxa"/>
                      </w:tcPr>
                      <w:p>
                        <w:pPr>
                          <w:pStyle w:val="TableParagraph"/>
                          <w:spacing w:line="207" w:lineRule="exact"/>
                          <w:rPr>
                            <w:sz w:val="20"/>
                          </w:rPr>
                        </w:pPr>
                        <w:r>
                          <w:rPr>
                            <w:sz w:val="20"/>
                          </w:rPr>
                          <w:t>6/9 (R.1)</w:t>
                        </w:r>
                      </w:p>
                    </w:tc>
                    <w:tc>
                      <w:tcPr>
                        <w:tcW w:w="1985" w:type="dxa"/>
                      </w:tcPr>
                      <w:p>
                        <w:pPr>
                          <w:pStyle w:val="TableParagraph"/>
                          <w:spacing w:line="240" w:lineRule="auto"/>
                          <w:ind w:left="0"/>
                          <w:rPr>
                            <w:rFonts w:ascii="Times New Roman"/>
                            <w:sz w:val="16"/>
                          </w:rPr>
                        </w:pPr>
                      </w:p>
                    </w:tc>
                    <w:tc>
                      <w:tcPr>
                        <w:tcW w:w="1986" w:type="dxa"/>
                      </w:tcPr>
                      <w:p>
                        <w:pPr>
                          <w:pStyle w:val="TableParagraph"/>
                          <w:spacing w:line="240" w:lineRule="auto"/>
                          <w:ind w:left="0"/>
                          <w:rPr>
                            <w:rFonts w:ascii="Times New Roman"/>
                            <w:sz w:val="16"/>
                          </w:rPr>
                        </w:pPr>
                      </w:p>
                    </w:tc>
                    <w:tc>
                      <w:tcPr>
                        <w:tcW w:w="1583" w:type="dxa"/>
                      </w:tcPr>
                      <w:p>
                        <w:pPr>
                          <w:pStyle w:val="TableParagraph"/>
                          <w:spacing w:line="240" w:lineRule="auto"/>
                          <w:ind w:left="0"/>
                          <w:rPr>
                            <w:rFonts w:ascii="Times New Roman"/>
                            <w:sz w:val="16"/>
                          </w:rPr>
                        </w:pPr>
                      </w:p>
                    </w:tc>
                  </w:tr>
                </w:tbl>
                <w:p>
                  <w:pPr>
                    <w:pStyle w:val="BodyText"/>
                  </w:pPr>
                </w:p>
              </w:txbxContent>
            </v:textbox>
            <w10:wrap type="none"/>
          </v:shape>
        </w:pict>
      </w:r>
      <w:r>
        <w:rPr>
          <w:u w:val="single"/>
        </w:rPr>
        <w:t>Schedule 5 – classifications and duty rates for US-originating goods not entitled to a free rate</w:t>
      </w:r>
      <w:r>
        <w:rPr/>
        <w:t> </w:t>
      </w:r>
      <w:r>
        <w:rPr>
          <w:u w:val="single"/>
        </w:rPr>
        <w:t>Schedule 6 – classifications and duty rates for Thai-originating goods not entitled to a free rate.</w:t>
      </w:r>
    </w:p>
    <w:p>
      <w:pPr>
        <w:pStyle w:val="BodyText"/>
      </w:pPr>
    </w:p>
    <w:p>
      <w:pPr>
        <w:pStyle w:val="BodyText"/>
        <w:ind w:left="1701" w:right="1884"/>
      </w:pPr>
      <w:r>
        <w:rPr/>
        <w:t>Any enquiries concerning these matters may be directed to the Manager, Tariff Legislation, on (02) 6275 6486.</w:t>
      </w:r>
    </w:p>
    <w:p>
      <w:pPr>
        <w:pStyle w:val="BodyText"/>
        <w:rPr>
          <w:sz w:val="22"/>
        </w:rPr>
      </w:pPr>
    </w:p>
    <w:p>
      <w:pPr>
        <w:pStyle w:val="BodyText"/>
        <w:rPr>
          <w:sz w:val="22"/>
        </w:rPr>
      </w:pPr>
    </w:p>
    <w:p>
      <w:pPr>
        <w:pStyle w:val="BodyText"/>
        <w:spacing w:before="185"/>
        <w:ind w:left="1701" w:right="8499"/>
      </w:pPr>
      <w:r>
        <w:rPr/>
        <w:t>Philomena Carnell, National Manager Trade for</w:t>
      </w:r>
    </w:p>
    <w:p>
      <w:pPr>
        <w:pStyle w:val="BodyText"/>
        <w:ind w:left="1701" w:right="8154"/>
      </w:pPr>
      <w:r>
        <w:rPr/>
        <w:t>Chief Executive Officer 27 June 2006</w:t>
      </w:r>
    </w:p>
    <w:sectPr>
      <w:pgSz w:w="11910" w:h="16840"/>
      <w:pgMar w:top="6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21" w:hanging="361"/>
      </w:pPr>
      <w:rPr>
        <w:rFonts w:hint="default"/>
        <w:w w:val="75"/>
      </w:rPr>
    </w:lvl>
    <w:lvl w:ilvl="1">
      <w:start w:val="0"/>
      <w:numFmt w:val="bullet"/>
      <w:lvlText w:val="•"/>
      <w:lvlJc w:val="left"/>
      <w:pPr>
        <w:ind w:left="3368" w:hanging="361"/>
      </w:pPr>
      <w:rPr>
        <w:rFonts w:hint="default"/>
      </w:rPr>
    </w:lvl>
    <w:lvl w:ilvl="2">
      <w:start w:val="0"/>
      <w:numFmt w:val="bullet"/>
      <w:lvlText w:val="•"/>
      <w:lvlJc w:val="left"/>
      <w:pPr>
        <w:ind w:left="4316" w:hanging="361"/>
      </w:pPr>
      <w:rPr>
        <w:rFonts w:hint="default"/>
      </w:rPr>
    </w:lvl>
    <w:lvl w:ilvl="3">
      <w:start w:val="0"/>
      <w:numFmt w:val="bullet"/>
      <w:lvlText w:val="•"/>
      <w:lvlJc w:val="left"/>
      <w:pPr>
        <w:ind w:left="5265" w:hanging="361"/>
      </w:pPr>
      <w:rPr>
        <w:rFonts w:hint="default"/>
      </w:rPr>
    </w:lvl>
    <w:lvl w:ilvl="4">
      <w:start w:val="0"/>
      <w:numFmt w:val="bullet"/>
      <w:lvlText w:val="•"/>
      <w:lvlJc w:val="left"/>
      <w:pPr>
        <w:ind w:left="6213" w:hanging="361"/>
      </w:pPr>
      <w:rPr>
        <w:rFonts w:hint="default"/>
      </w:rPr>
    </w:lvl>
    <w:lvl w:ilvl="5">
      <w:start w:val="0"/>
      <w:numFmt w:val="bullet"/>
      <w:lvlText w:val="•"/>
      <w:lvlJc w:val="left"/>
      <w:pPr>
        <w:ind w:left="7162" w:hanging="361"/>
      </w:pPr>
      <w:rPr>
        <w:rFonts w:hint="default"/>
      </w:rPr>
    </w:lvl>
    <w:lvl w:ilvl="6">
      <w:start w:val="0"/>
      <w:numFmt w:val="bullet"/>
      <w:lvlText w:val="•"/>
      <w:lvlJc w:val="left"/>
      <w:pPr>
        <w:ind w:left="8110" w:hanging="361"/>
      </w:pPr>
      <w:rPr>
        <w:rFonts w:hint="default"/>
      </w:rPr>
    </w:lvl>
    <w:lvl w:ilvl="7">
      <w:start w:val="0"/>
      <w:numFmt w:val="bullet"/>
      <w:lvlText w:val="•"/>
      <w:lvlJc w:val="left"/>
      <w:pPr>
        <w:ind w:left="9059" w:hanging="361"/>
      </w:pPr>
      <w:rPr>
        <w:rFonts w:hint="default"/>
      </w:rPr>
    </w:lvl>
    <w:lvl w:ilvl="8">
      <w:start w:val="0"/>
      <w:numFmt w:val="bullet"/>
      <w:lvlText w:val="•"/>
      <w:lvlJc w:val="left"/>
      <w:pPr>
        <w:ind w:left="1000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53"/>
      <w:ind w:left="2887" w:right="1601" w:hanging="1611"/>
    </w:pPr>
    <w:rPr>
      <w:rFonts w:ascii="Arial" w:hAnsi="Arial" w:eastAsia="Arial" w:cs="Arial"/>
      <w:b/>
      <w:bCs/>
      <w:sz w:val="28"/>
      <w:szCs w:val="28"/>
    </w:rPr>
  </w:style>
  <w:style w:styleId="ListParagraph" w:type="paragraph">
    <w:name w:val="List Paragraph"/>
    <w:basedOn w:val="Normal"/>
    <w:uiPriority w:val="1"/>
    <w:qFormat/>
    <w:pPr>
      <w:ind w:left="2421" w:hanging="360"/>
    </w:pPr>
    <w:rPr>
      <w:rFonts w:ascii="Arial" w:hAnsi="Arial" w:eastAsia="Arial" w:cs="Arial"/>
    </w:rPr>
  </w:style>
  <w:style w:styleId="TableParagraph" w:type="paragraph">
    <w:name w:val="Table Paragraph"/>
    <w:basedOn w:val="Normal"/>
    <w:uiPriority w:val="1"/>
    <w:qFormat/>
    <w:pPr>
      <w:spacing w:line="210" w:lineRule="exact"/>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Customs Tariff Amendments Resulting from the Government's Fuel Tax Reform and Review of Excise</dc:subject>
  <dc:title>Australian Customs Notice 2006/31</dc:title>
  <dcterms:created xsi:type="dcterms:W3CDTF">2020-12-09T22:21:05Z</dcterms:created>
  <dcterms:modified xsi:type="dcterms:W3CDTF">2020-12-09T22:21:05Z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2006-06-27T00:00:00Z</vt:filetime>
  </property>
  <property fmtid="{D5CDD505-2E9C-101B-9397-08002B2CF9AE}" pid="3" name="Creator">
    <vt:lpwstr>Acrobat PDFMaker 7.0.7 for Word</vt:lpwstr>
  </property>
  <property fmtid="{D5CDD505-2E9C-101B-9397-08002B2CF9AE}" pid="4" name="LastSaved">
    <vt:filetime>2020-12-09T00:00:00Z</vt:filetime>
  </property>
</Properties>
</file>