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4"/>
        </w:rPr>
      </w:pPr>
    </w:p>
    <w:p>
      <w:pPr>
        <w:pStyle w:val="Title"/>
        <w:spacing w:after="21"/>
      </w:pPr>
      <w:r>
        <w:rPr/>
        <w:drawing>
          <wp:anchor distT="0" distB="0" distL="0" distR="0" allowOverlap="1" layoutInCell="1" locked="0" behindDoc="0" simplePos="0" relativeHeight="15729664">
            <wp:simplePos x="0" y="0"/>
            <wp:positionH relativeFrom="page">
              <wp:posOffset>0</wp:posOffset>
            </wp:positionH>
            <wp:positionV relativeFrom="paragraph">
              <wp:posOffset>-1339064</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bookmarkStart w:name="AUSTRALIAN CUSTOMS NOTICE NO. 2006/34" w:id="1"/>
      <w:bookmarkEnd w:id="1"/>
      <w:r>
        <w:rPr>
          <w:b w:val="0"/>
        </w:rPr>
      </w:r>
      <w:r>
        <w:rPr/>
        <w:t>AUSTRALIAN CUSTOMS NOTICE NO. 2006/34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rPr>
          <w:b/>
          <w:sz w:val="20"/>
        </w:rPr>
      </w:pPr>
    </w:p>
    <w:p>
      <w:pPr>
        <w:pStyle w:val="BodyText"/>
        <w:spacing w:before="7"/>
        <w:rPr>
          <w:b/>
          <w:sz w:val="19"/>
        </w:rPr>
      </w:pPr>
    </w:p>
    <w:p>
      <w:pPr>
        <w:pStyle w:val="Title"/>
        <w:ind w:right="2844"/>
      </w:pPr>
      <w:bookmarkStart w:name="Infringement Notice Scheme Guidelines (2" w:id="2"/>
      <w:bookmarkEnd w:id="2"/>
      <w:r>
        <w:rPr>
          <w:b w:val="0"/>
        </w:rPr>
      </w:r>
      <w:r>
        <w:rPr/>
        <w:t>Infringement Notice Scheme Guidelines (2006)</w:t>
      </w:r>
    </w:p>
    <w:p>
      <w:pPr>
        <w:pStyle w:val="BodyText"/>
        <w:rPr>
          <w:b/>
          <w:sz w:val="29"/>
        </w:rPr>
      </w:pPr>
    </w:p>
    <w:p>
      <w:pPr>
        <w:pStyle w:val="BodyText"/>
        <w:spacing w:before="1"/>
        <w:ind w:left="1701" w:right="1983"/>
      </w:pPr>
      <w:r>
        <w:rPr/>
        <w:t>Under section 243XA of the </w:t>
      </w:r>
      <w:r>
        <w:rPr>
          <w:i/>
        </w:rPr>
        <w:t>Customs Act 1901 </w:t>
      </w:r>
      <w:r>
        <w:rPr/>
        <w:t>(Customs Act) the CEO must make written guidelines in respect of the administration of the Infringement Notice Scheme contained in Division 5 of Part XIII of the Customs Act. The guidelines must be considered when exercising powers under Division 5 of Part XIII of the Customs Act.</w:t>
      </w:r>
    </w:p>
    <w:p>
      <w:pPr>
        <w:pStyle w:val="BodyText"/>
        <w:spacing w:before="11"/>
        <w:rPr>
          <w:sz w:val="21"/>
        </w:rPr>
      </w:pPr>
    </w:p>
    <w:p>
      <w:pPr>
        <w:pStyle w:val="BodyText"/>
        <w:ind w:left="1701" w:right="1811"/>
      </w:pPr>
      <w:r>
        <w:rPr/>
        <w:t>Following industry consultation the guidelines have been updated. The new guidelines replace the Infringement Notice Scheme Guidelines tabled in Parliament on</w:t>
      </w:r>
    </w:p>
    <w:p>
      <w:pPr>
        <w:pStyle w:val="BodyText"/>
        <w:ind w:left="1701"/>
      </w:pPr>
      <w:r>
        <w:rPr/>
        <w:t>16 November 2004.</w:t>
      </w:r>
    </w:p>
    <w:p>
      <w:pPr>
        <w:pStyle w:val="BodyText"/>
        <w:spacing w:before="11"/>
        <w:rPr>
          <w:sz w:val="21"/>
        </w:rPr>
      </w:pPr>
    </w:p>
    <w:p>
      <w:pPr>
        <w:pStyle w:val="BodyText"/>
        <w:ind w:left="1701" w:right="1787"/>
      </w:pPr>
      <w:r>
        <w:rPr/>
        <w:t>The Infringement Notice Scheme Guidelines (2006) commenced on 20 June 2006 and are located on the Customs Internet website at </w:t>
      </w:r>
      <w:hyperlink r:id="rId6">
        <w:r>
          <w:rPr>
            <w:color w:val="0000FF"/>
            <w:u w:val="single" w:color="0000FF"/>
          </w:rPr>
          <w:t>http://www.customs.gov.au/webdata/resources/files/InfrinNoticeGuidelinesDiv5.pdf</w:t>
        </w:r>
      </w:hyperlink>
      <w:r>
        <w:rPr/>
        <w:t>.</w:t>
      </w:r>
    </w:p>
    <w:p>
      <w:pPr>
        <w:pStyle w:val="BodyText"/>
        <w:spacing w:before="1"/>
        <w:rPr>
          <w:sz w:val="24"/>
        </w:rPr>
      </w:pPr>
    </w:p>
    <w:p>
      <w:pPr>
        <w:pStyle w:val="BodyText"/>
        <w:ind w:left="1701" w:right="2116"/>
      </w:pPr>
      <w:r>
        <w:rPr/>
        <w:t>A detailed list of the changes that have been made to the guidelines is contained in attachment A.</w:t>
      </w:r>
    </w:p>
    <w:p>
      <w:pPr>
        <w:pStyle w:val="BodyText"/>
      </w:pPr>
    </w:p>
    <w:p>
      <w:pPr>
        <w:spacing w:before="1"/>
        <w:ind w:left="1701" w:right="0" w:firstLine="0"/>
        <w:jc w:val="left"/>
        <w:rPr>
          <w:b/>
          <w:sz w:val="22"/>
        </w:rPr>
      </w:pPr>
      <w:r>
        <w:rPr>
          <w:b/>
          <w:sz w:val="22"/>
        </w:rPr>
        <w:t>Enquiries Concerning this Notice</w:t>
      </w:r>
    </w:p>
    <w:p>
      <w:pPr>
        <w:pStyle w:val="BodyText"/>
        <w:spacing w:before="10"/>
        <w:rPr>
          <w:b/>
          <w:sz w:val="21"/>
        </w:rPr>
      </w:pPr>
    </w:p>
    <w:p>
      <w:pPr>
        <w:pStyle w:val="BodyText"/>
        <w:ind w:left="1701" w:right="1689"/>
      </w:pPr>
      <w:r>
        <w:rPr/>
        <w:t>Any queries relating to the Guidelines may be directed to Alison Whatson, A/g Manager Infringement Notice Scheme by email </w:t>
      </w:r>
      <w:hyperlink r:id="rId7">
        <w:r>
          <w:rPr>
            <w:b/>
            <w:color w:val="0000FF"/>
            <w:u w:val="thick" w:color="0000FF"/>
          </w:rPr>
          <w:t>INSG@customs.gov.au</w:t>
        </w:r>
      </w:hyperlink>
      <w:r>
        <w:rPr/>
        <w:t>.</w:t>
      </w:r>
    </w:p>
    <w:p>
      <w:pPr>
        <w:pStyle w:val="BodyText"/>
        <w:rPr>
          <w:sz w:val="24"/>
        </w:rPr>
      </w:pPr>
    </w:p>
    <w:p>
      <w:pPr>
        <w:pStyle w:val="BodyText"/>
        <w:rPr>
          <w:sz w:val="24"/>
        </w:rPr>
      </w:pPr>
    </w:p>
    <w:p>
      <w:pPr>
        <w:pStyle w:val="BodyText"/>
        <w:spacing w:before="207"/>
        <w:ind w:left="1701" w:right="8012"/>
        <w:jc w:val="both"/>
      </w:pPr>
      <w:r>
        <w:rPr/>
        <w:t>Sharon Nyakuengama A/g National Manager Compliance Branch</w:t>
      </w:r>
    </w:p>
    <w:p>
      <w:pPr>
        <w:pStyle w:val="BodyText"/>
        <w:spacing w:line="252" w:lineRule="exact"/>
        <w:ind w:left="1885"/>
        <w:jc w:val="both"/>
      </w:pPr>
      <w:r>
        <w:rPr/>
        <w:t>June 2006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r>
        <w:rPr/>
        <w:drawing>
          <wp:anchor distT="0" distB="0" distL="0" distR="0" allowOverlap="1" layoutInCell="1" locked="0" behindDoc="0" simplePos="0" relativeHeight="1">
            <wp:simplePos x="0" y="0"/>
            <wp:positionH relativeFrom="page">
              <wp:posOffset>5556503</wp:posOffset>
            </wp:positionH>
            <wp:positionV relativeFrom="paragraph">
              <wp:posOffset>179239</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0472" cy="122872"/>
                    </a:xfrm>
                    <a:prstGeom prst="rect">
                      <a:avLst/>
                    </a:prstGeom>
                  </pic:spPr>
                </pic:pic>
              </a:graphicData>
            </a:graphic>
          </wp:anchor>
        </w:drawing>
      </w:r>
    </w:p>
    <w:p>
      <w:pPr>
        <w:spacing w:after="0"/>
        <w:rPr>
          <w:sz w:val="21"/>
        </w:rPr>
        <w:sectPr>
          <w:type w:val="continuous"/>
          <w:pgSz w:w="11910" w:h="16840"/>
          <w:pgMar w:top="860" w:bottom="280" w:left="0" w:right="0"/>
        </w:sectPr>
      </w:pPr>
    </w:p>
    <w:p>
      <w:pPr>
        <w:pStyle w:val="BodyText"/>
        <w:rPr>
          <w:sz w:val="20"/>
        </w:rPr>
      </w:pPr>
    </w:p>
    <w:p>
      <w:pPr>
        <w:pStyle w:val="BodyText"/>
        <w:spacing w:before="7"/>
        <w:rPr>
          <w:sz w:val="23"/>
        </w:rPr>
      </w:pPr>
    </w:p>
    <w:p>
      <w:pPr>
        <w:pStyle w:val="BodyText"/>
        <w:spacing w:before="93"/>
        <w:ind w:right="100"/>
        <w:jc w:val="right"/>
      </w:pPr>
      <w:bookmarkStart w:name="Changes" w:id="3"/>
      <w:bookmarkEnd w:id="3"/>
      <w:r>
        <w:rPr/>
      </w:r>
      <w:r>
        <w:rPr/>
        <w:t>Attachment A</w:t>
      </w:r>
    </w:p>
    <w:p>
      <w:pPr>
        <w:pStyle w:val="BodyText"/>
        <w:spacing w:before="11"/>
        <w:rPr>
          <w:sz w:val="15"/>
        </w:rPr>
      </w:pPr>
    </w:p>
    <w:p>
      <w:pPr>
        <w:spacing w:before="92"/>
        <w:ind w:left="119" w:right="0" w:firstLine="0"/>
        <w:jc w:val="left"/>
        <w:rPr>
          <w:b/>
          <w:sz w:val="24"/>
        </w:rPr>
      </w:pPr>
      <w:r>
        <w:rPr>
          <w:b/>
          <w:sz w:val="24"/>
        </w:rPr>
        <w:t>Infringement Notice Scheme Guidelines (2006) – Key changes</w:t>
      </w:r>
    </w:p>
    <w:p>
      <w:pPr>
        <w:pStyle w:val="BodyText"/>
        <w:spacing w:before="2"/>
        <w:rPr>
          <w:b/>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6"/>
        <w:gridCol w:w="3718"/>
        <w:gridCol w:w="8577"/>
      </w:tblGrid>
      <w:tr>
        <w:trPr>
          <w:trHeight w:val="680" w:hRule="atLeast"/>
        </w:trPr>
        <w:tc>
          <w:tcPr>
            <w:tcW w:w="1566" w:type="dxa"/>
          </w:tcPr>
          <w:p>
            <w:pPr>
              <w:pStyle w:val="TableParagraph"/>
              <w:ind w:right="268"/>
              <w:rPr>
                <w:b/>
                <w:sz w:val="24"/>
              </w:rPr>
            </w:pPr>
            <w:r>
              <w:rPr>
                <w:b/>
                <w:sz w:val="24"/>
              </w:rPr>
              <w:t>Section Reference</w:t>
            </w:r>
          </w:p>
        </w:tc>
        <w:tc>
          <w:tcPr>
            <w:tcW w:w="3718" w:type="dxa"/>
          </w:tcPr>
          <w:p>
            <w:pPr>
              <w:pStyle w:val="TableParagraph"/>
              <w:spacing w:line="274" w:lineRule="exact"/>
              <w:rPr>
                <w:b/>
                <w:sz w:val="24"/>
              </w:rPr>
            </w:pPr>
            <w:r>
              <w:rPr>
                <w:b/>
                <w:sz w:val="24"/>
              </w:rPr>
              <w:t>Topic</w:t>
            </w:r>
          </w:p>
        </w:tc>
        <w:tc>
          <w:tcPr>
            <w:tcW w:w="8577" w:type="dxa"/>
          </w:tcPr>
          <w:p>
            <w:pPr>
              <w:pStyle w:val="TableParagraph"/>
              <w:spacing w:before="238"/>
              <w:rPr>
                <w:b/>
                <w:sz w:val="28"/>
              </w:rPr>
            </w:pPr>
            <w:r>
              <w:rPr>
                <w:b/>
                <w:sz w:val="28"/>
              </w:rPr>
              <w:t>Changes</w:t>
            </w:r>
          </w:p>
        </w:tc>
      </w:tr>
      <w:tr>
        <w:trPr>
          <w:trHeight w:val="1610" w:hRule="atLeast"/>
        </w:trPr>
        <w:tc>
          <w:tcPr>
            <w:tcW w:w="1566" w:type="dxa"/>
          </w:tcPr>
          <w:p>
            <w:pPr>
              <w:pStyle w:val="TableParagraph"/>
              <w:spacing w:line="273" w:lineRule="exact"/>
              <w:rPr>
                <w:sz w:val="24"/>
              </w:rPr>
            </w:pPr>
            <w:r>
              <w:rPr>
                <w:w w:val="99"/>
                <w:sz w:val="24"/>
              </w:rPr>
              <w:t>2</w:t>
            </w:r>
          </w:p>
        </w:tc>
        <w:tc>
          <w:tcPr>
            <w:tcW w:w="3718" w:type="dxa"/>
          </w:tcPr>
          <w:p>
            <w:pPr>
              <w:pStyle w:val="TableParagraph"/>
              <w:spacing w:line="273" w:lineRule="exact"/>
              <w:ind w:left="108"/>
              <w:rPr>
                <w:sz w:val="24"/>
              </w:rPr>
            </w:pPr>
            <w:r>
              <w:rPr>
                <w:sz w:val="24"/>
              </w:rPr>
              <w:t>Delegation</w:t>
            </w:r>
          </w:p>
        </w:tc>
        <w:tc>
          <w:tcPr>
            <w:tcW w:w="8577" w:type="dxa"/>
          </w:tcPr>
          <w:p>
            <w:pPr>
              <w:pStyle w:val="TableParagraph"/>
              <w:ind w:right="276" w:hanging="1"/>
              <w:rPr>
                <w:sz w:val="24"/>
              </w:rPr>
            </w:pPr>
            <w:r>
              <w:rPr>
                <w:sz w:val="24"/>
              </w:rPr>
              <w:t>The preferred level of officer for deciding to serve an infringement notice or withdraw an infringement notice for any offence under subsections 64(13), 64AA(10), 64AAB(7), 64AAC(6), 64AB(10), 64ABAA(9), 71AAAQ(1), 71G(1),</w:t>
            </w:r>
          </w:p>
          <w:p>
            <w:pPr>
              <w:pStyle w:val="TableParagraph"/>
              <w:ind w:right="715"/>
              <w:rPr>
                <w:sz w:val="24"/>
              </w:rPr>
            </w:pPr>
            <w:r>
              <w:rPr>
                <w:sz w:val="24"/>
              </w:rPr>
              <w:t>74(6), or 243V(1) has changed. For these offences, the preferred level of officer is SES officers only.</w:t>
            </w:r>
          </w:p>
        </w:tc>
      </w:tr>
      <w:tr>
        <w:trPr>
          <w:trHeight w:val="827" w:hRule="atLeast"/>
        </w:trPr>
        <w:tc>
          <w:tcPr>
            <w:tcW w:w="1566" w:type="dxa"/>
          </w:tcPr>
          <w:p>
            <w:pPr>
              <w:pStyle w:val="TableParagraph"/>
              <w:spacing w:line="273" w:lineRule="exact"/>
              <w:rPr>
                <w:sz w:val="24"/>
              </w:rPr>
            </w:pPr>
            <w:r>
              <w:rPr>
                <w:sz w:val="24"/>
              </w:rPr>
              <w:t>3.1.1</w:t>
            </w:r>
          </w:p>
        </w:tc>
        <w:tc>
          <w:tcPr>
            <w:tcW w:w="3718" w:type="dxa"/>
          </w:tcPr>
          <w:p>
            <w:pPr>
              <w:pStyle w:val="TableParagraph"/>
              <w:spacing w:line="273" w:lineRule="exact"/>
              <w:rPr>
                <w:sz w:val="24"/>
              </w:rPr>
            </w:pPr>
            <w:r>
              <w:rPr>
                <w:sz w:val="24"/>
              </w:rPr>
              <w:t>What are the relevant offences</w:t>
            </w:r>
          </w:p>
        </w:tc>
        <w:tc>
          <w:tcPr>
            <w:tcW w:w="8577" w:type="dxa"/>
          </w:tcPr>
          <w:p>
            <w:pPr>
              <w:pStyle w:val="TableParagraph"/>
              <w:ind w:right="648" w:hanging="1"/>
              <w:rPr>
                <w:sz w:val="24"/>
              </w:rPr>
            </w:pPr>
            <w:r>
              <w:rPr>
                <w:sz w:val="24"/>
              </w:rPr>
              <w:t>The tense has been changed to reflect the fact that all offences have commenced. The table has been updated to better describe the offences.</w:t>
            </w:r>
          </w:p>
        </w:tc>
      </w:tr>
      <w:tr>
        <w:trPr>
          <w:trHeight w:val="1254" w:hRule="atLeast"/>
        </w:trPr>
        <w:tc>
          <w:tcPr>
            <w:tcW w:w="1566" w:type="dxa"/>
          </w:tcPr>
          <w:p>
            <w:pPr>
              <w:pStyle w:val="TableParagraph"/>
              <w:spacing w:line="273" w:lineRule="exact"/>
              <w:rPr>
                <w:sz w:val="24"/>
              </w:rPr>
            </w:pPr>
            <w:r>
              <w:rPr>
                <w:sz w:val="24"/>
              </w:rPr>
              <w:t>3.2.7</w:t>
            </w:r>
          </w:p>
        </w:tc>
        <w:tc>
          <w:tcPr>
            <w:tcW w:w="3718" w:type="dxa"/>
          </w:tcPr>
          <w:p>
            <w:pPr>
              <w:pStyle w:val="TableParagraph"/>
              <w:ind w:right="380" w:hanging="1"/>
              <w:rPr>
                <w:sz w:val="24"/>
              </w:rPr>
            </w:pPr>
            <w:r>
              <w:rPr>
                <w:sz w:val="24"/>
              </w:rPr>
              <w:t>Australia – United States Free Trade Agreement – section 243T and 243U</w:t>
            </w:r>
          </w:p>
        </w:tc>
        <w:tc>
          <w:tcPr>
            <w:tcW w:w="8577" w:type="dxa"/>
          </w:tcPr>
          <w:p>
            <w:pPr>
              <w:pStyle w:val="TableParagraph"/>
              <w:ind w:right="355"/>
              <w:rPr>
                <w:sz w:val="24"/>
              </w:rPr>
            </w:pPr>
            <w:r>
              <w:rPr>
                <w:sz w:val="24"/>
              </w:rPr>
              <w:t>Guidance on the impact of the Australia – United States Free Trade Agreement (AUSFTA) on the false and misleading statement offences in the Customs Act has been included.</w:t>
            </w:r>
          </w:p>
        </w:tc>
      </w:tr>
      <w:tr>
        <w:trPr>
          <w:trHeight w:val="1104" w:hRule="atLeast"/>
        </w:trPr>
        <w:tc>
          <w:tcPr>
            <w:tcW w:w="1566" w:type="dxa"/>
          </w:tcPr>
          <w:p>
            <w:pPr>
              <w:pStyle w:val="TableParagraph"/>
              <w:spacing w:line="273" w:lineRule="exact"/>
              <w:rPr>
                <w:sz w:val="24"/>
              </w:rPr>
            </w:pPr>
            <w:r>
              <w:rPr>
                <w:sz w:val="24"/>
              </w:rPr>
              <w:t>3.3.1</w:t>
            </w:r>
          </w:p>
        </w:tc>
        <w:tc>
          <w:tcPr>
            <w:tcW w:w="3718" w:type="dxa"/>
          </w:tcPr>
          <w:p>
            <w:pPr>
              <w:pStyle w:val="TableParagraph"/>
              <w:spacing w:line="273" w:lineRule="exact"/>
              <w:rPr>
                <w:sz w:val="24"/>
              </w:rPr>
            </w:pPr>
            <w:r>
              <w:rPr>
                <w:sz w:val="24"/>
              </w:rPr>
              <w:t>Significance of the breach</w:t>
            </w:r>
          </w:p>
        </w:tc>
        <w:tc>
          <w:tcPr>
            <w:tcW w:w="8577" w:type="dxa"/>
          </w:tcPr>
          <w:p>
            <w:pPr>
              <w:pStyle w:val="TableParagraph"/>
              <w:ind w:right="607" w:firstLine="1"/>
              <w:rPr>
                <w:sz w:val="24"/>
              </w:rPr>
            </w:pPr>
            <w:r>
              <w:rPr>
                <w:sz w:val="24"/>
              </w:rPr>
              <w:t>A new indicator has been inserted for and against serving an infringement notice in relation to the number (3) of false and misleading statement particulars or omissions in the relevant cargo or outturn report.</w:t>
            </w:r>
          </w:p>
        </w:tc>
      </w:tr>
      <w:tr>
        <w:trPr>
          <w:trHeight w:val="1655" w:hRule="atLeast"/>
        </w:trPr>
        <w:tc>
          <w:tcPr>
            <w:tcW w:w="1566" w:type="dxa"/>
          </w:tcPr>
          <w:p>
            <w:pPr>
              <w:pStyle w:val="TableParagraph"/>
              <w:spacing w:line="273" w:lineRule="exact"/>
              <w:rPr>
                <w:sz w:val="24"/>
              </w:rPr>
            </w:pPr>
            <w:r>
              <w:rPr>
                <w:sz w:val="24"/>
              </w:rPr>
              <w:t>3.3.2</w:t>
            </w:r>
          </w:p>
        </w:tc>
        <w:tc>
          <w:tcPr>
            <w:tcW w:w="3718" w:type="dxa"/>
          </w:tcPr>
          <w:p>
            <w:pPr>
              <w:pStyle w:val="TableParagraph"/>
              <w:spacing w:line="273" w:lineRule="exact"/>
              <w:ind w:left="108"/>
              <w:rPr>
                <w:sz w:val="24"/>
              </w:rPr>
            </w:pPr>
            <w:r>
              <w:rPr>
                <w:sz w:val="24"/>
              </w:rPr>
              <w:t>Effort/attempt to comply</w:t>
            </w:r>
          </w:p>
        </w:tc>
        <w:tc>
          <w:tcPr>
            <w:tcW w:w="8577" w:type="dxa"/>
          </w:tcPr>
          <w:p>
            <w:pPr>
              <w:pStyle w:val="TableParagraph"/>
              <w:ind w:right="474" w:firstLine="1"/>
              <w:rPr>
                <w:sz w:val="24"/>
              </w:rPr>
            </w:pPr>
            <w:r>
              <w:rPr>
                <w:sz w:val="24"/>
              </w:rPr>
              <w:t>Further explanation has been provided to the discretionary consideration of effort/attempt to comply to provide that:</w:t>
            </w:r>
          </w:p>
          <w:p>
            <w:pPr>
              <w:pStyle w:val="TableParagraph"/>
              <w:numPr>
                <w:ilvl w:val="0"/>
                <w:numId w:val="1"/>
              </w:numPr>
              <w:tabs>
                <w:tab w:pos="617" w:val="left" w:leader="none"/>
                <w:tab w:pos="618" w:val="left" w:leader="none"/>
              </w:tabs>
              <w:spacing w:line="240" w:lineRule="auto" w:before="0" w:after="0"/>
              <w:ind w:left="617" w:right="465" w:hanging="398"/>
              <w:jc w:val="left"/>
              <w:rPr>
                <w:sz w:val="24"/>
              </w:rPr>
            </w:pPr>
            <w:r>
              <w:rPr>
                <w:sz w:val="24"/>
              </w:rPr>
              <w:t>the context of the person’s compliance history will be considered</w:t>
            </w:r>
            <w:r>
              <w:rPr>
                <w:spacing w:val="-46"/>
                <w:sz w:val="24"/>
              </w:rPr>
              <w:t> </w:t>
            </w:r>
            <w:r>
              <w:rPr>
                <w:sz w:val="24"/>
              </w:rPr>
              <w:t>when considering whether a breach is part of an ongoing pattern</w:t>
            </w:r>
            <w:r>
              <w:rPr>
                <w:spacing w:val="-10"/>
                <w:sz w:val="24"/>
              </w:rPr>
              <w:t> </w:t>
            </w:r>
            <w:r>
              <w:rPr>
                <w:sz w:val="24"/>
              </w:rPr>
              <w:t>of</w:t>
            </w:r>
          </w:p>
          <w:p>
            <w:pPr>
              <w:pStyle w:val="TableParagraph"/>
              <w:ind w:left="617"/>
              <w:rPr>
                <w:sz w:val="24"/>
              </w:rPr>
            </w:pPr>
            <w:r>
              <w:rPr>
                <w:sz w:val="24"/>
              </w:rPr>
              <w:t>non-compliance; and</w:t>
            </w:r>
          </w:p>
          <w:p>
            <w:pPr>
              <w:pStyle w:val="TableParagraph"/>
              <w:numPr>
                <w:ilvl w:val="0"/>
                <w:numId w:val="1"/>
              </w:numPr>
              <w:tabs>
                <w:tab w:pos="617" w:val="left" w:leader="none"/>
                <w:tab w:pos="618" w:val="left" w:leader="none"/>
              </w:tabs>
              <w:spacing w:line="259" w:lineRule="exact" w:before="0" w:after="0"/>
              <w:ind w:left="617" w:right="0" w:hanging="398"/>
              <w:jc w:val="left"/>
              <w:rPr>
                <w:sz w:val="24"/>
              </w:rPr>
            </w:pPr>
            <w:r>
              <w:rPr>
                <w:sz w:val="24"/>
              </w:rPr>
              <w:t>when considering indicators for serving an infringement notice,</w:t>
            </w:r>
            <w:r>
              <w:rPr>
                <w:spacing w:val="-18"/>
                <w:sz w:val="24"/>
              </w:rPr>
              <w:t> </w:t>
            </w:r>
            <w:r>
              <w:rPr>
                <w:sz w:val="24"/>
              </w:rPr>
              <w:t>any</w:t>
            </w:r>
          </w:p>
        </w:tc>
      </w:tr>
    </w:tbl>
    <w:p>
      <w:pPr>
        <w:spacing w:after="0" w:line="259" w:lineRule="exact"/>
        <w:jc w:val="left"/>
        <w:rPr>
          <w:sz w:val="24"/>
        </w:rPr>
        <w:sectPr>
          <w:pgSz w:w="16840" w:h="11910" w:orient="landscape"/>
          <w:pgMar w:top="1100" w:bottom="280" w:left="1320" w:right="1340"/>
        </w:sectPr>
      </w:pPr>
    </w:p>
    <w:p>
      <w:pPr>
        <w:pStyle w:val="BodyText"/>
        <w:rPr>
          <w:b/>
          <w:sz w:val="20"/>
        </w:rPr>
      </w:pPr>
    </w:p>
    <w:p>
      <w:pPr>
        <w:pStyle w:val="BodyText"/>
        <w:rPr>
          <w:b/>
          <w:sz w:val="20"/>
        </w:rPr>
      </w:pPr>
    </w:p>
    <w:p>
      <w:pPr>
        <w:pStyle w:val="BodyText"/>
        <w:spacing w:before="10"/>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6"/>
        <w:gridCol w:w="3718"/>
        <w:gridCol w:w="8577"/>
      </w:tblGrid>
      <w:tr>
        <w:trPr>
          <w:trHeight w:val="1103" w:hRule="atLeast"/>
        </w:trPr>
        <w:tc>
          <w:tcPr>
            <w:tcW w:w="1566" w:type="dxa"/>
          </w:tcPr>
          <w:p>
            <w:pPr>
              <w:pStyle w:val="TableParagraph"/>
              <w:ind w:left="0"/>
              <w:rPr>
                <w:rFonts w:ascii="Times New Roman"/>
                <w:sz w:val="24"/>
              </w:rPr>
            </w:pPr>
          </w:p>
        </w:tc>
        <w:tc>
          <w:tcPr>
            <w:tcW w:w="3718" w:type="dxa"/>
          </w:tcPr>
          <w:p>
            <w:pPr>
              <w:pStyle w:val="TableParagraph"/>
              <w:ind w:left="0"/>
              <w:rPr>
                <w:rFonts w:ascii="Times New Roman"/>
                <w:sz w:val="24"/>
              </w:rPr>
            </w:pPr>
          </w:p>
        </w:tc>
        <w:tc>
          <w:tcPr>
            <w:tcW w:w="8577" w:type="dxa"/>
          </w:tcPr>
          <w:p>
            <w:pPr>
              <w:pStyle w:val="TableParagraph"/>
              <w:ind w:left="617" w:right="218"/>
              <w:rPr>
                <w:sz w:val="24"/>
              </w:rPr>
            </w:pPr>
            <w:r>
              <w:rPr>
                <w:sz w:val="24"/>
              </w:rPr>
              <w:t>previous non-compliance with the particular regulatory requirement that was due to difficulties experienced with the operation of the ICS shall not adversely impact on a person’s efforts/attempts to comply.</w:t>
            </w:r>
          </w:p>
        </w:tc>
      </w:tr>
      <w:tr>
        <w:trPr>
          <w:trHeight w:val="827" w:hRule="atLeast"/>
        </w:trPr>
        <w:tc>
          <w:tcPr>
            <w:tcW w:w="1566" w:type="dxa"/>
          </w:tcPr>
          <w:p>
            <w:pPr>
              <w:pStyle w:val="TableParagraph"/>
              <w:spacing w:line="273" w:lineRule="exact"/>
              <w:rPr>
                <w:sz w:val="24"/>
              </w:rPr>
            </w:pPr>
            <w:r>
              <w:rPr>
                <w:sz w:val="24"/>
              </w:rPr>
              <w:t>3.3.4</w:t>
            </w:r>
          </w:p>
        </w:tc>
        <w:tc>
          <w:tcPr>
            <w:tcW w:w="3718" w:type="dxa"/>
          </w:tcPr>
          <w:p>
            <w:pPr>
              <w:pStyle w:val="TableParagraph"/>
              <w:spacing w:line="276" w:lineRule="exact" w:before="1"/>
              <w:ind w:right="458" w:hanging="1"/>
              <w:rPr>
                <w:sz w:val="24"/>
              </w:rPr>
            </w:pPr>
            <w:r>
              <w:rPr>
                <w:sz w:val="24"/>
              </w:rPr>
              <w:t>Discretionary consideration - Reasons beyond the persons control</w:t>
            </w:r>
          </w:p>
        </w:tc>
        <w:tc>
          <w:tcPr>
            <w:tcW w:w="8577" w:type="dxa"/>
          </w:tcPr>
          <w:p>
            <w:pPr>
              <w:pStyle w:val="TableParagraph"/>
              <w:ind w:right="408"/>
              <w:rPr>
                <w:sz w:val="24"/>
              </w:rPr>
            </w:pPr>
            <w:r>
              <w:rPr>
                <w:sz w:val="24"/>
              </w:rPr>
              <w:t>Clarification that a person acting on behalf of the person who committed the offence could include overseas agents.</w:t>
            </w:r>
          </w:p>
        </w:tc>
      </w:tr>
      <w:tr>
        <w:trPr>
          <w:trHeight w:val="2206" w:hRule="atLeast"/>
        </w:trPr>
        <w:tc>
          <w:tcPr>
            <w:tcW w:w="1566" w:type="dxa"/>
          </w:tcPr>
          <w:p>
            <w:pPr>
              <w:pStyle w:val="TableParagraph"/>
              <w:spacing w:line="271" w:lineRule="exact"/>
              <w:rPr>
                <w:sz w:val="24"/>
              </w:rPr>
            </w:pPr>
            <w:r>
              <w:rPr>
                <w:sz w:val="24"/>
              </w:rPr>
              <w:t>3.3.5</w:t>
            </w:r>
          </w:p>
        </w:tc>
        <w:tc>
          <w:tcPr>
            <w:tcW w:w="3718" w:type="dxa"/>
          </w:tcPr>
          <w:p>
            <w:pPr>
              <w:pStyle w:val="TableParagraph"/>
              <w:ind w:right="125" w:hanging="1"/>
              <w:rPr>
                <w:sz w:val="24"/>
              </w:rPr>
            </w:pPr>
            <w:r>
              <w:rPr>
                <w:sz w:val="24"/>
              </w:rPr>
              <w:t>Discretionary consideration - Difficulties experienced during the introduction of the Integrated Cargo System (ICS)</w:t>
            </w:r>
          </w:p>
        </w:tc>
        <w:tc>
          <w:tcPr>
            <w:tcW w:w="8577" w:type="dxa"/>
          </w:tcPr>
          <w:p>
            <w:pPr>
              <w:pStyle w:val="TableParagraph"/>
              <w:ind w:right="422"/>
              <w:rPr>
                <w:sz w:val="24"/>
              </w:rPr>
            </w:pPr>
            <w:r>
              <w:rPr>
                <w:sz w:val="24"/>
              </w:rPr>
              <w:t>A new consideration has been inserted to make it clear that an infringement notice will not be served where a person has made reasonable efforts to comply with regulatory requirements and the person has been unable to comply due to an identified Customs system problem.</w:t>
            </w:r>
          </w:p>
          <w:p>
            <w:pPr>
              <w:pStyle w:val="TableParagraph"/>
              <w:spacing w:before="6"/>
              <w:ind w:left="0"/>
              <w:rPr>
                <w:b/>
                <w:sz w:val="23"/>
              </w:rPr>
            </w:pPr>
          </w:p>
          <w:p>
            <w:pPr>
              <w:pStyle w:val="TableParagraph"/>
              <w:spacing w:before="1"/>
              <w:ind w:right="676"/>
              <w:rPr>
                <w:sz w:val="24"/>
              </w:rPr>
            </w:pPr>
            <w:r>
              <w:rPr>
                <w:sz w:val="24"/>
              </w:rPr>
              <w:t>An explanation of what an identified Customs-system problem includes is provided.</w:t>
            </w:r>
          </w:p>
        </w:tc>
      </w:tr>
      <w:tr>
        <w:trPr>
          <w:trHeight w:val="670" w:hRule="atLeast"/>
        </w:trPr>
        <w:tc>
          <w:tcPr>
            <w:tcW w:w="1566" w:type="dxa"/>
          </w:tcPr>
          <w:p>
            <w:pPr>
              <w:pStyle w:val="TableParagraph"/>
              <w:spacing w:line="273" w:lineRule="exact"/>
              <w:rPr>
                <w:sz w:val="24"/>
              </w:rPr>
            </w:pPr>
            <w:r>
              <w:rPr>
                <w:sz w:val="24"/>
              </w:rPr>
              <w:t>4.5</w:t>
            </w:r>
          </w:p>
        </w:tc>
        <w:tc>
          <w:tcPr>
            <w:tcW w:w="3718" w:type="dxa"/>
          </w:tcPr>
          <w:p>
            <w:pPr>
              <w:pStyle w:val="TableParagraph"/>
              <w:ind w:right="285"/>
              <w:rPr>
                <w:sz w:val="24"/>
              </w:rPr>
            </w:pPr>
            <w:r>
              <w:rPr>
                <w:sz w:val="24"/>
              </w:rPr>
              <w:t>Method of serving infringement notices</w:t>
            </w:r>
          </w:p>
        </w:tc>
        <w:tc>
          <w:tcPr>
            <w:tcW w:w="8577" w:type="dxa"/>
          </w:tcPr>
          <w:p>
            <w:pPr>
              <w:pStyle w:val="TableParagraph"/>
              <w:spacing w:line="273" w:lineRule="exact"/>
              <w:rPr>
                <w:sz w:val="24"/>
              </w:rPr>
            </w:pPr>
            <w:r>
              <w:rPr>
                <w:sz w:val="24"/>
              </w:rPr>
              <w:t>An explanation on how an infringement notice would be served is provided.</w:t>
            </w:r>
          </w:p>
        </w:tc>
      </w:tr>
      <w:tr>
        <w:trPr>
          <w:trHeight w:val="827" w:hRule="atLeast"/>
        </w:trPr>
        <w:tc>
          <w:tcPr>
            <w:tcW w:w="1566" w:type="dxa"/>
          </w:tcPr>
          <w:p>
            <w:pPr>
              <w:pStyle w:val="TableParagraph"/>
              <w:spacing w:line="273" w:lineRule="exact"/>
              <w:rPr>
                <w:sz w:val="24"/>
              </w:rPr>
            </w:pPr>
            <w:r>
              <w:rPr>
                <w:sz w:val="24"/>
              </w:rPr>
              <w:t>Appendix A</w:t>
            </w:r>
          </w:p>
        </w:tc>
        <w:tc>
          <w:tcPr>
            <w:tcW w:w="3718" w:type="dxa"/>
          </w:tcPr>
          <w:p>
            <w:pPr>
              <w:pStyle w:val="TableParagraph"/>
              <w:ind w:right="794" w:hanging="1"/>
              <w:rPr>
                <w:sz w:val="24"/>
              </w:rPr>
            </w:pPr>
            <w:r>
              <w:rPr>
                <w:sz w:val="24"/>
              </w:rPr>
              <w:t>Guide to elements of strict liability offences</w:t>
            </w:r>
          </w:p>
        </w:tc>
        <w:tc>
          <w:tcPr>
            <w:tcW w:w="8577" w:type="dxa"/>
          </w:tcPr>
          <w:p>
            <w:pPr>
              <w:pStyle w:val="TableParagraph"/>
              <w:ind w:right="394"/>
              <w:rPr>
                <w:sz w:val="24"/>
              </w:rPr>
            </w:pPr>
            <w:r>
              <w:rPr>
                <w:sz w:val="24"/>
              </w:rPr>
              <w:t>The Guide has been amended to better describe the cargo reporting related offences.</w:t>
            </w:r>
          </w:p>
        </w:tc>
      </w:tr>
      <w:tr>
        <w:trPr>
          <w:trHeight w:val="1103" w:hRule="atLeast"/>
        </w:trPr>
        <w:tc>
          <w:tcPr>
            <w:tcW w:w="1566" w:type="dxa"/>
          </w:tcPr>
          <w:p>
            <w:pPr>
              <w:pStyle w:val="TableParagraph"/>
              <w:spacing w:line="273" w:lineRule="exact"/>
              <w:rPr>
                <w:sz w:val="24"/>
              </w:rPr>
            </w:pPr>
            <w:r>
              <w:rPr>
                <w:sz w:val="24"/>
              </w:rPr>
              <w:t>Appendix B</w:t>
            </w:r>
          </w:p>
        </w:tc>
        <w:tc>
          <w:tcPr>
            <w:tcW w:w="3718" w:type="dxa"/>
          </w:tcPr>
          <w:p>
            <w:pPr>
              <w:pStyle w:val="TableParagraph"/>
              <w:spacing w:line="273" w:lineRule="exact"/>
              <w:rPr>
                <w:sz w:val="24"/>
              </w:rPr>
            </w:pPr>
            <w:r>
              <w:rPr>
                <w:sz w:val="24"/>
              </w:rPr>
              <w:t>Moratorium</w:t>
            </w:r>
          </w:p>
        </w:tc>
        <w:tc>
          <w:tcPr>
            <w:tcW w:w="8577" w:type="dxa"/>
          </w:tcPr>
          <w:p>
            <w:pPr>
              <w:pStyle w:val="TableParagraph"/>
              <w:ind w:hanging="1"/>
              <w:rPr>
                <w:sz w:val="24"/>
              </w:rPr>
            </w:pPr>
            <w:r>
              <w:rPr>
                <w:sz w:val="24"/>
              </w:rPr>
              <w:t>The Moratorium has been updated to take account of the republished moratorium in relation to the new imports-related strict liability offences in ACN 2005/37.</w:t>
            </w:r>
          </w:p>
        </w:tc>
      </w:tr>
      <w:tr>
        <w:trPr>
          <w:trHeight w:val="1104" w:hRule="atLeast"/>
        </w:trPr>
        <w:tc>
          <w:tcPr>
            <w:tcW w:w="1566" w:type="dxa"/>
          </w:tcPr>
          <w:p>
            <w:pPr>
              <w:pStyle w:val="TableParagraph"/>
              <w:spacing w:line="273" w:lineRule="exact"/>
              <w:rPr>
                <w:sz w:val="24"/>
              </w:rPr>
            </w:pPr>
            <w:r>
              <w:rPr>
                <w:sz w:val="24"/>
              </w:rPr>
              <w:t>Appendix C</w:t>
            </w:r>
          </w:p>
        </w:tc>
        <w:tc>
          <w:tcPr>
            <w:tcW w:w="3718" w:type="dxa"/>
          </w:tcPr>
          <w:p>
            <w:pPr>
              <w:pStyle w:val="TableParagraph"/>
              <w:ind w:right="179" w:hanging="1"/>
              <w:rPr>
                <w:sz w:val="24"/>
              </w:rPr>
            </w:pPr>
            <w:r>
              <w:rPr>
                <w:sz w:val="24"/>
              </w:rPr>
              <w:t>Information Sheet on what to do if you receive an infringement notice</w:t>
            </w:r>
          </w:p>
        </w:tc>
        <w:tc>
          <w:tcPr>
            <w:tcW w:w="8577" w:type="dxa"/>
          </w:tcPr>
          <w:p>
            <w:pPr>
              <w:pStyle w:val="TableParagraph"/>
              <w:ind w:right="127"/>
              <w:rPr>
                <w:sz w:val="24"/>
              </w:rPr>
            </w:pPr>
            <w:r>
              <w:rPr>
                <w:sz w:val="24"/>
              </w:rPr>
              <w:t>Minor changes to wording in relation to withdrawal options have been made. The heading has been changed to fit the explanation that the person named in the notice can seek withdrawal of an infringement notice.</w:t>
            </w:r>
          </w:p>
        </w:tc>
      </w:tr>
    </w:tbl>
    <w:sectPr>
      <w:pgSz w:w="16840" w:h="11910" w:orient="landscape"/>
      <w:pgMar w:top="110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17" w:hanging="398"/>
      </w:pPr>
      <w:rPr>
        <w:rFonts w:hint="default" w:ascii="Arial" w:hAnsi="Arial" w:eastAsia="Arial" w:cs="Arial"/>
        <w:w w:val="75"/>
        <w:sz w:val="18"/>
        <w:szCs w:val="18"/>
      </w:rPr>
    </w:lvl>
    <w:lvl w:ilvl="1">
      <w:start w:val="0"/>
      <w:numFmt w:val="bullet"/>
      <w:lvlText w:val="•"/>
      <w:lvlJc w:val="left"/>
      <w:pPr>
        <w:ind w:left="1414" w:hanging="398"/>
      </w:pPr>
      <w:rPr>
        <w:rFonts w:hint="default"/>
      </w:rPr>
    </w:lvl>
    <w:lvl w:ilvl="2">
      <w:start w:val="0"/>
      <w:numFmt w:val="bullet"/>
      <w:lvlText w:val="•"/>
      <w:lvlJc w:val="left"/>
      <w:pPr>
        <w:ind w:left="2209" w:hanging="398"/>
      </w:pPr>
      <w:rPr>
        <w:rFonts w:hint="default"/>
      </w:rPr>
    </w:lvl>
    <w:lvl w:ilvl="3">
      <w:start w:val="0"/>
      <w:numFmt w:val="bullet"/>
      <w:lvlText w:val="•"/>
      <w:lvlJc w:val="left"/>
      <w:pPr>
        <w:ind w:left="3004" w:hanging="398"/>
      </w:pPr>
      <w:rPr>
        <w:rFonts w:hint="default"/>
      </w:rPr>
    </w:lvl>
    <w:lvl w:ilvl="4">
      <w:start w:val="0"/>
      <w:numFmt w:val="bullet"/>
      <w:lvlText w:val="•"/>
      <w:lvlJc w:val="left"/>
      <w:pPr>
        <w:ind w:left="3798" w:hanging="398"/>
      </w:pPr>
      <w:rPr>
        <w:rFonts w:hint="default"/>
      </w:rPr>
    </w:lvl>
    <w:lvl w:ilvl="5">
      <w:start w:val="0"/>
      <w:numFmt w:val="bullet"/>
      <w:lvlText w:val="•"/>
      <w:lvlJc w:val="left"/>
      <w:pPr>
        <w:ind w:left="4593" w:hanging="398"/>
      </w:pPr>
      <w:rPr>
        <w:rFonts w:hint="default"/>
      </w:rPr>
    </w:lvl>
    <w:lvl w:ilvl="6">
      <w:start w:val="0"/>
      <w:numFmt w:val="bullet"/>
      <w:lvlText w:val="•"/>
      <w:lvlJc w:val="left"/>
      <w:pPr>
        <w:ind w:left="5388" w:hanging="398"/>
      </w:pPr>
      <w:rPr>
        <w:rFonts w:hint="default"/>
      </w:rPr>
    </w:lvl>
    <w:lvl w:ilvl="7">
      <w:start w:val="0"/>
      <w:numFmt w:val="bullet"/>
      <w:lvlText w:val="•"/>
      <w:lvlJc w:val="left"/>
      <w:pPr>
        <w:ind w:left="6182" w:hanging="398"/>
      </w:pPr>
      <w:rPr>
        <w:rFonts w:hint="default"/>
      </w:rPr>
    </w:lvl>
    <w:lvl w:ilvl="8">
      <w:start w:val="0"/>
      <w:numFmt w:val="bullet"/>
      <w:lvlText w:val="•"/>
      <w:lvlJc w:val="left"/>
      <w:pPr>
        <w:ind w:left="6977" w:hanging="39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Title" w:type="paragraph">
    <w:name w:val="Title"/>
    <w:basedOn w:val="Normal"/>
    <w:uiPriority w:val="1"/>
    <w:qFormat/>
    <w:pPr>
      <w:spacing w:before="91"/>
      <w:ind w:left="2847" w:right="284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webdata/resources/files/InfrinNoticeGuidelinesDiv5.pdf" TargetMode="External"/><Relationship Id="rId7" Type="http://schemas.openxmlformats.org/officeDocument/2006/relationships/hyperlink" Target="mailto:INSG@customs.gov.au"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Infringement Notice Scheme Guidelines (2006)</dc:subject>
  <dc:title>Australian Customs Notice 2006/34</dc:title>
  <dcterms:created xsi:type="dcterms:W3CDTF">2020-12-09T22:32:18Z</dcterms:created>
  <dcterms:modified xsi:type="dcterms:W3CDTF">2020-12-09T22:32:18Z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2006-07-04T00:00:00Z</vt:filetime>
  </property>
  <property fmtid="{D5CDD505-2E9C-101B-9397-08002B2CF9AE}" pid="3" name="Creator">
    <vt:lpwstr>Acrobat PDFMaker 7.0.7 for Word</vt:lpwstr>
  </property>
  <property fmtid="{D5CDD505-2E9C-101B-9397-08002B2CF9AE}" pid="4" name="LastSaved">
    <vt:filetime>2020-12-09T00:00:00Z</vt:filetime>
  </property>
</Properties>
</file>