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-1047012</wp:posOffset>
            </wp:positionV>
            <wp:extent cx="7556754" cy="9334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5"/>
                    </a:xfrm>
                    <a:prstGeom prst="rect">
                      <a:avLst/>
                    </a:prstGeom>
                  </pic:spPr>
                </pic:pic>
              </a:graphicData>
            </a:graphic>
          </wp:anchor>
        </w:drawing>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2007/0</w:t>
      </w:r>
      <w:r>
        <w:rPr>
          <w:spacing w:val="-49"/>
          <w:u w:val="single"/>
        </w:rPr>
        <w:t> </w:t>
      </w:r>
      <w:r>
        <w:rPr>
          <w:u w:val="single"/>
        </w:rPr>
        <w:t>2</w:t>
      </w:r>
      <w:r>
        <w:rPr>
          <w:spacing w:val="43"/>
          <w:u w:val="single"/>
        </w:rPr>
        <w:t> </w:t>
      </w:r>
    </w:p>
    <w:p>
      <w:pPr>
        <w:pStyle w:val="BodyText"/>
        <w:spacing w:before="2"/>
        <w:rPr>
          <w:b/>
        </w:rPr>
      </w:pPr>
    </w:p>
    <w:p>
      <w:pPr>
        <w:spacing w:before="91"/>
        <w:ind w:left="2133" w:right="2129" w:firstLine="0"/>
        <w:jc w:val="center"/>
        <w:rPr>
          <w:b/>
          <w:sz w:val="28"/>
        </w:rPr>
      </w:pPr>
      <w:r>
        <w:rPr>
          <w:b/>
          <w:sz w:val="28"/>
        </w:rPr>
        <w:t>United Nations Security Council (UNSC) Resolution 1718: Sanctions on the export of luxury goods to the Democratic People’s Republic of Korea (North Korea)</w:t>
      </w:r>
    </w:p>
    <w:p>
      <w:pPr>
        <w:spacing w:before="229"/>
        <w:ind w:left="1701" w:right="1706" w:firstLine="0"/>
        <w:jc w:val="left"/>
        <w:rPr>
          <w:sz w:val="20"/>
        </w:rPr>
      </w:pPr>
      <w:r>
        <w:rPr>
          <w:sz w:val="20"/>
        </w:rPr>
        <w:t>Amendments to the </w:t>
      </w:r>
      <w:r>
        <w:rPr>
          <w:i/>
          <w:sz w:val="20"/>
        </w:rPr>
        <w:t>Customs (Prohibited Exports) Regulations </w:t>
      </w:r>
      <w:r>
        <w:rPr>
          <w:sz w:val="20"/>
        </w:rPr>
        <w:t>1958 and the </w:t>
      </w:r>
      <w:r>
        <w:rPr>
          <w:i/>
          <w:sz w:val="20"/>
        </w:rPr>
        <w:t>Customs (Prohibited Imports) Regulations </w:t>
      </w:r>
      <w:r>
        <w:rPr>
          <w:sz w:val="20"/>
        </w:rPr>
        <w:t>1956 relating to the Democratic People’s Republic of Korea (DPRK), also known as North Korea, came into effect on 3 November 2006 and were advised in Australian Customs Notice 2006/52.</w:t>
      </w:r>
    </w:p>
    <w:p>
      <w:pPr>
        <w:pStyle w:val="BodyText"/>
        <w:spacing w:before="10"/>
      </w:pPr>
    </w:p>
    <w:p>
      <w:pPr>
        <w:spacing w:before="0"/>
        <w:ind w:left="1701" w:right="0" w:firstLine="0"/>
        <w:jc w:val="left"/>
        <w:rPr>
          <w:b/>
          <w:sz w:val="24"/>
        </w:rPr>
      </w:pPr>
      <w:r>
        <w:rPr>
          <w:b/>
          <w:sz w:val="24"/>
        </w:rPr>
        <w:t>UNSC Sanctions</w:t>
      </w:r>
    </w:p>
    <w:p>
      <w:pPr>
        <w:pStyle w:val="BodyText"/>
        <w:spacing w:before="59"/>
        <w:ind w:left="1701" w:right="2073"/>
      </w:pPr>
      <w:r>
        <w:rPr/>
        <w:t>UNSC Resolution 1718 obliges Member States to take steps to prevent the direct or indirect supply, sale or transfer to the DPRK of, amongst other things, certain luxury goods.</w:t>
      </w:r>
    </w:p>
    <w:p>
      <w:pPr>
        <w:pStyle w:val="BodyText"/>
      </w:pPr>
    </w:p>
    <w:p>
      <w:pPr>
        <w:spacing w:before="0"/>
        <w:ind w:left="1701" w:right="1729" w:hanging="1"/>
        <w:jc w:val="left"/>
        <w:rPr>
          <w:sz w:val="20"/>
        </w:rPr>
      </w:pPr>
      <w:r>
        <w:rPr>
          <w:sz w:val="20"/>
        </w:rPr>
        <w:t>Regulation 13CO of the </w:t>
      </w:r>
      <w:r>
        <w:rPr>
          <w:i/>
          <w:sz w:val="20"/>
        </w:rPr>
        <w:t>Customs (Prohibited Exports) Regulations </w:t>
      </w:r>
      <w:r>
        <w:rPr>
          <w:sz w:val="20"/>
        </w:rPr>
        <w:t>1958 was introduced with effect from 3 November 2006. This regulation prohibits the exportation of goods included on the luxury goods list to the DPRK unless the written permission of the Minister for Foreign Affairs or an authorised officer of his Department is produced to Customs at or before the exportation of such goods. The “luxury goods list” is defined in Regulation 13CO as the luxury goods list (if any) determined by the Foreign Minister under the </w:t>
      </w:r>
      <w:r>
        <w:rPr>
          <w:i/>
          <w:sz w:val="20"/>
        </w:rPr>
        <w:t>Charter of the United Nations (Sanctions – Democratic People’s Republic of Korea) Regulations 2006</w:t>
      </w:r>
      <w:r>
        <w:rPr>
          <w:sz w:val="20"/>
        </w:rPr>
        <w:t>, as in force from time to time.</w:t>
      </w:r>
    </w:p>
    <w:p>
      <w:pPr>
        <w:pStyle w:val="BodyText"/>
      </w:pPr>
    </w:p>
    <w:p>
      <w:pPr>
        <w:spacing w:before="0"/>
        <w:ind w:left="1701" w:right="1862" w:firstLine="0"/>
        <w:jc w:val="left"/>
        <w:rPr>
          <w:sz w:val="20"/>
        </w:rPr>
      </w:pPr>
      <w:r>
        <w:rPr>
          <w:sz w:val="20"/>
        </w:rPr>
        <w:t>Regulation 19 of the </w:t>
      </w:r>
      <w:r>
        <w:rPr>
          <w:i/>
          <w:sz w:val="20"/>
        </w:rPr>
        <w:t>Charter of the United Nations (Sanctions – Democratic People’s Republic of Korea) Regulations 2006 </w:t>
      </w:r>
      <w:r>
        <w:rPr>
          <w:sz w:val="20"/>
        </w:rPr>
        <w:t>provides the Foreign Minister may, by legislative instrument, determine a list of goods (the </w:t>
      </w:r>
      <w:r>
        <w:rPr>
          <w:rFonts w:ascii="Arial-BoldItalicMT" w:hAnsi="Arial-BoldItalicMT"/>
          <w:b/>
          <w:i/>
          <w:sz w:val="20"/>
        </w:rPr>
        <w:t>luxury goods list</w:t>
      </w:r>
      <w:r>
        <w:rPr>
          <w:sz w:val="20"/>
        </w:rPr>
        <w:t>) that are to be treated as luxury goods for the purposes of these Regulations.</w:t>
      </w:r>
    </w:p>
    <w:p>
      <w:pPr>
        <w:pStyle w:val="BodyText"/>
        <w:spacing w:before="1"/>
      </w:pPr>
    </w:p>
    <w:p>
      <w:pPr>
        <w:pStyle w:val="BodyText"/>
        <w:ind w:left="1701" w:right="1729"/>
      </w:pPr>
      <w:r>
        <w:rPr/>
        <w:t>This luxury goods list was made by the Foreign Minister on 7 December 2006 and registered on 21 December 2006 (FRLI Number F2006L05741 refers). The list includes a range of alcoholic beverages, tobacco, foodstuffs, vehicles, jewellery, precious metals and stones, and electronic consumer goods. The full list came into effect on 22 December 2006 and is produced overleaf.</w:t>
      </w:r>
    </w:p>
    <w:p>
      <w:pPr>
        <w:pStyle w:val="BodyText"/>
        <w:spacing w:before="11"/>
        <w:rPr>
          <w:sz w:val="19"/>
        </w:rPr>
      </w:pPr>
    </w:p>
    <w:p>
      <w:pPr>
        <w:pStyle w:val="BodyText"/>
        <w:ind w:left="1701" w:right="1728"/>
      </w:pPr>
      <w:r>
        <w:rPr/>
        <w:t>The written permission of the Minister for Foreign Affairs, or an authorised officer of his Department, must be produced to Customs before such goods are cleared for exportation to the DPRK.  The exportation of any of the listed luxury goods without this written permission being so produced constitutes an offence under the </w:t>
      </w:r>
      <w:r>
        <w:rPr>
          <w:i/>
        </w:rPr>
        <w:t>Customs Act 1901</w:t>
      </w:r>
      <w:r>
        <w:rPr/>
        <w:t>, the penalties for which may be</w:t>
      </w:r>
      <w:r>
        <w:rPr>
          <w:spacing w:val="-3"/>
        </w:rPr>
        <w:t> </w:t>
      </w:r>
      <w:r>
        <w:rPr/>
        <w:t>a</w:t>
      </w:r>
      <w:r>
        <w:rPr>
          <w:spacing w:val="-3"/>
        </w:rPr>
        <w:t> </w:t>
      </w:r>
      <w:r>
        <w:rPr/>
        <w:t>penalty</w:t>
      </w:r>
      <w:r>
        <w:rPr>
          <w:spacing w:val="-3"/>
        </w:rPr>
        <w:t> </w:t>
      </w:r>
      <w:r>
        <w:rPr/>
        <w:t>not</w:t>
      </w:r>
      <w:r>
        <w:rPr>
          <w:spacing w:val="-2"/>
        </w:rPr>
        <w:t> </w:t>
      </w:r>
      <w:r>
        <w:rPr/>
        <w:t>exceeding</w:t>
      </w:r>
      <w:r>
        <w:rPr>
          <w:spacing w:val="-3"/>
        </w:rPr>
        <w:t> </w:t>
      </w:r>
      <w:r>
        <w:rPr/>
        <w:t>three</w:t>
      </w:r>
      <w:r>
        <w:rPr>
          <w:spacing w:val="-3"/>
        </w:rPr>
        <w:t> </w:t>
      </w:r>
      <w:r>
        <w:rPr/>
        <w:t>times</w:t>
      </w:r>
      <w:r>
        <w:rPr>
          <w:spacing w:val="-2"/>
        </w:rPr>
        <w:t> </w:t>
      </w:r>
      <w:r>
        <w:rPr/>
        <w:t>the</w:t>
      </w:r>
      <w:r>
        <w:rPr>
          <w:spacing w:val="-3"/>
        </w:rPr>
        <w:t> </w:t>
      </w:r>
      <w:r>
        <w:rPr/>
        <w:t>value</w:t>
      </w:r>
      <w:r>
        <w:rPr>
          <w:spacing w:val="-3"/>
        </w:rPr>
        <w:t> </w:t>
      </w:r>
      <w:r>
        <w:rPr/>
        <w:t>of</w:t>
      </w:r>
      <w:r>
        <w:rPr>
          <w:spacing w:val="-2"/>
        </w:rPr>
        <w:t> </w:t>
      </w:r>
      <w:r>
        <w:rPr/>
        <w:t>the</w:t>
      </w:r>
      <w:r>
        <w:rPr>
          <w:spacing w:val="-3"/>
        </w:rPr>
        <w:t> </w:t>
      </w:r>
      <w:r>
        <w:rPr/>
        <w:t>goods</w:t>
      </w:r>
      <w:r>
        <w:rPr>
          <w:spacing w:val="-3"/>
        </w:rPr>
        <w:t> </w:t>
      </w:r>
      <w:r>
        <w:rPr/>
        <w:t>or</w:t>
      </w:r>
      <w:r>
        <w:rPr>
          <w:spacing w:val="-2"/>
        </w:rPr>
        <w:t> </w:t>
      </w:r>
      <w:r>
        <w:rPr/>
        <w:t>a</w:t>
      </w:r>
      <w:r>
        <w:rPr>
          <w:spacing w:val="-3"/>
        </w:rPr>
        <w:t> </w:t>
      </w:r>
      <w:r>
        <w:rPr/>
        <w:t>penalty</w:t>
      </w:r>
      <w:r>
        <w:rPr>
          <w:spacing w:val="-3"/>
        </w:rPr>
        <w:t> </w:t>
      </w:r>
      <w:r>
        <w:rPr/>
        <w:t>not</w:t>
      </w:r>
      <w:r>
        <w:rPr>
          <w:spacing w:val="-3"/>
        </w:rPr>
        <w:t> </w:t>
      </w:r>
      <w:r>
        <w:rPr/>
        <w:t>exceeding</w:t>
      </w:r>
    </w:p>
    <w:p>
      <w:pPr>
        <w:pStyle w:val="BodyText"/>
        <w:ind w:left="1701"/>
      </w:pPr>
      <w:r>
        <w:rPr/>
        <w:t>$110,000, whichever is the greater.</w:t>
      </w:r>
    </w:p>
    <w:p>
      <w:pPr>
        <w:pStyle w:val="BodyText"/>
        <w:spacing w:before="11"/>
        <w:rPr>
          <w:sz w:val="19"/>
        </w:rPr>
      </w:pPr>
    </w:p>
    <w:p>
      <w:pPr>
        <w:pStyle w:val="BodyText"/>
        <w:ind w:left="1701" w:right="1740"/>
      </w:pPr>
      <w:r>
        <w:rPr/>
        <w:t>All importers, exporters, customs brokers and freight forwarders are reminded to use the Country Code KP, when reporting to Customs the exportation or importation of goods to or from the DPRK. Exportations and importations to or from the Republic of Korea (ROK), also known as South Korea, must use the Country Code KR. Errors in country codes will lead to delays in the clearance of cargo, especially where the country of destination KP (North Korea) is used.</w:t>
      </w:r>
    </w:p>
    <w:p>
      <w:pPr>
        <w:pStyle w:val="BodyText"/>
        <w:spacing w:before="1"/>
        <w:ind w:left="1701" w:right="2340"/>
      </w:pPr>
      <w:r>
        <w:rPr/>
        <w:t>Inquiries concerning this notice may be directed to the Manager, Counter Proliferation on telephone number (02) 6275 6189, or fax number (02) 6275 6699.</w:t>
      </w:r>
    </w:p>
    <w:p>
      <w:pPr>
        <w:pStyle w:val="BodyText"/>
        <w:rPr>
          <w:sz w:val="22"/>
        </w:rPr>
      </w:pPr>
    </w:p>
    <w:p>
      <w:pPr>
        <w:pStyle w:val="BodyText"/>
        <w:rPr>
          <w:sz w:val="22"/>
        </w:rPr>
      </w:pPr>
    </w:p>
    <w:p>
      <w:pPr>
        <w:pStyle w:val="BodyText"/>
        <w:rPr>
          <w:sz w:val="22"/>
        </w:rPr>
      </w:pPr>
    </w:p>
    <w:p>
      <w:pPr>
        <w:pStyle w:val="BodyText"/>
        <w:spacing w:line="230" w:lineRule="exact" w:before="161"/>
        <w:ind w:left="1701"/>
      </w:pPr>
      <w:r>
        <w:rPr/>
        <w:t>SUE PITMAN</w:t>
      </w:r>
    </w:p>
    <w:p>
      <w:pPr>
        <w:pStyle w:val="BodyText"/>
        <w:ind w:left="1701" w:right="6944"/>
      </w:pPr>
      <w:r>
        <w:rPr/>
        <w:t>National Director </w:t>
      </w:r>
      <w:r>
        <w:rPr>
          <w:spacing w:val="-4"/>
        </w:rPr>
        <w:t>(Trade) </w:t>
      </w:r>
      <w:r>
        <w:rPr/>
        <w:t>CANBERRA</w:t>
      </w:r>
      <w:r>
        <w:rPr>
          <w:spacing w:val="53"/>
        </w:rPr>
        <w:t> </w:t>
      </w:r>
      <w:r>
        <w:rPr/>
        <w:t>ACT</w:t>
      </w:r>
    </w:p>
    <w:p>
      <w:pPr>
        <w:pStyle w:val="BodyText"/>
        <w:spacing w:before="120"/>
        <w:ind w:left="1701"/>
      </w:pPr>
      <w:r>
        <w:rPr/>
        <w:t>10 January 2007</w:t>
      </w:r>
    </w:p>
    <w:p>
      <w:pPr>
        <w:pStyle w:val="BodyText"/>
      </w:pPr>
    </w:p>
    <w:p>
      <w:pPr>
        <w:pStyle w:val="BodyText"/>
        <w:spacing w:before="2"/>
        <w:rPr>
          <w:sz w:val="29"/>
        </w:rPr>
      </w:pPr>
      <w:r>
        <w:rPr/>
        <w:drawing>
          <wp:anchor distT="0" distB="0" distL="0" distR="0" allowOverlap="1" layoutInCell="1" locked="0" behindDoc="0" simplePos="0" relativeHeight="0">
            <wp:simplePos x="0" y="0"/>
            <wp:positionH relativeFrom="page">
              <wp:posOffset>5556503</wp:posOffset>
            </wp:positionH>
            <wp:positionV relativeFrom="paragraph">
              <wp:posOffset>238202</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p>
      <w:pPr>
        <w:spacing w:after="0"/>
        <w:rPr>
          <w:sz w:val="29"/>
        </w:rPr>
        <w:sectPr>
          <w:type w:val="continuous"/>
          <w:pgSz w:w="11910" w:h="16840"/>
          <w:pgMar w:top="400" w:bottom="280" w:left="0" w:right="0"/>
        </w:sectPr>
      </w:pPr>
    </w:p>
    <w:p>
      <w:pPr>
        <w:pStyle w:val="BodyText"/>
      </w:pPr>
    </w:p>
    <w:p>
      <w:pPr>
        <w:pStyle w:val="BodyText"/>
      </w:pPr>
    </w:p>
    <w:p>
      <w:pPr>
        <w:pStyle w:val="BodyText"/>
      </w:pPr>
    </w:p>
    <w:p>
      <w:pPr>
        <w:pStyle w:val="BodyText"/>
      </w:pPr>
    </w:p>
    <w:p>
      <w:pPr>
        <w:pStyle w:val="BodyText"/>
      </w:pPr>
    </w:p>
    <w:p>
      <w:pPr>
        <w:pStyle w:val="BodyText"/>
        <w:spacing w:before="9"/>
        <w:rPr>
          <w:sz w:val="17"/>
        </w:rPr>
      </w:pPr>
    </w:p>
    <w:p>
      <w:pPr>
        <w:spacing w:line="480" w:lineRule="auto" w:before="94"/>
        <w:ind w:left="4369" w:right="4366" w:firstLine="0"/>
        <w:jc w:val="center"/>
        <w:rPr>
          <w:b/>
          <w:sz w:val="20"/>
        </w:rPr>
      </w:pPr>
      <w:r>
        <w:rPr>
          <w:b/>
          <w:sz w:val="20"/>
        </w:rPr>
        <w:t>Security Council Resolution 1718 Australian Luxury Goods List</w:t>
      </w:r>
    </w:p>
    <w:p>
      <w:pPr>
        <w:pStyle w:val="BodyText"/>
        <w:spacing w:before="1"/>
        <w:rPr>
          <w:b/>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8054"/>
      </w:tblGrid>
      <w:tr>
        <w:trPr>
          <w:trHeight w:val="230" w:hRule="atLeast"/>
        </w:trPr>
        <w:tc>
          <w:tcPr>
            <w:tcW w:w="468" w:type="dxa"/>
          </w:tcPr>
          <w:p>
            <w:pPr>
              <w:pStyle w:val="TableParagraph"/>
              <w:ind w:left="107"/>
              <w:rPr>
                <w:sz w:val="20"/>
              </w:rPr>
            </w:pPr>
            <w:r>
              <w:rPr>
                <w:w w:val="100"/>
                <w:sz w:val="20"/>
              </w:rPr>
              <w:t>1</w:t>
            </w:r>
          </w:p>
        </w:tc>
        <w:tc>
          <w:tcPr>
            <w:tcW w:w="8054" w:type="dxa"/>
          </w:tcPr>
          <w:p>
            <w:pPr>
              <w:pStyle w:val="TableParagraph"/>
              <w:rPr>
                <w:sz w:val="20"/>
              </w:rPr>
            </w:pPr>
            <w:r>
              <w:rPr>
                <w:sz w:val="20"/>
              </w:rPr>
              <w:t>Wine</w:t>
            </w:r>
          </w:p>
        </w:tc>
      </w:tr>
      <w:tr>
        <w:trPr>
          <w:trHeight w:val="230" w:hRule="atLeast"/>
        </w:trPr>
        <w:tc>
          <w:tcPr>
            <w:tcW w:w="468" w:type="dxa"/>
          </w:tcPr>
          <w:p>
            <w:pPr>
              <w:pStyle w:val="TableParagraph"/>
              <w:ind w:left="107"/>
              <w:rPr>
                <w:sz w:val="20"/>
              </w:rPr>
            </w:pPr>
            <w:r>
              <w:rPr>
                <w:w w:val="100"/>
                <w:sz w:val="20"/>
              </w:rPr>
              <w:t>2</w:t>
            </w:r>
          </w:p>
        </w:tc>
        <w:tc>
          <w:tcPr>
            <w:tcW w:w="8054" w:type="dxa"/>
          </w:tcPr>
          <w:p>
            <w:pPr>
              <w:pStyle w:val="TableParagraph"/>
              <w:rPr>
                <w:sz w:val="20"/>
              </w:rPr>
            </w:pPr>
            <w:r>
              <w:rPr>
                <w:sz w:val="20"/>
              </w:rPr>
              <w:t>Spirits (all kinds)</w:t>
            </w:r>
          </w:p>
        </w:tc>
      </w:tr>
      <w:tr>
        <w:trPr>
          <w:trHeight w:val="230" w:hRule="atLeast"/>
        </w:trPr>
        <w:tc>
          <w:tcPr>
            <w:tcW w:w="468" w:type="dxa"/>
          </w:tcPr>
          <w:p>
            <w:pPr>
              <w:pStyle w:val="TableParagraph"/>
              <w:ind w:left="107"/>
              <w:rPr>
                <w:sz w:val="20"/>
              </w:rPr>
            </w:pPr>
            <w:r>
              <w:rPr>
                <w:w w:val="100"/>
                <w:sz w:val="20"/>
              </w:rPr>
              <w:t>3</w:t>
            </w:r>
          </w:p>
        </w:tc>
        <w:tc>
          <w:tcPr>
            <w:tcW w:w="8054" w:type="dxa"/>
          </w:tcPr>
          <w:p>
            <w:pPr>
              <w:pStyle w:val="TableParagraph"/>
              <w:rPr>
                <w:sz w:val="20"/>
              </w:rPr>
            </w:pPr>
            <w:r>
              <w:rPr>
                <w:sz w:val="20"/>
              </w:rPr>
              <w:t>Tobacco Products</w:t>
            </w:r>
          </w:p>
        </w:tc>
      </w:tr>
      <w:tr>
        <w:trPr>
          <w:trHeight w:val="230" w:hRule="atLeast"/>
        </w:trPr>
        <w:tc>
          <w:tcPr>
            <w:tcW w:w="468" w:type="dxa"/>
          </w:tcPr>
          <w:p>
            <w:pPr>
              <w:pStyle w:val="TableParagraph"/>
              <w:ind w:left="107"/>
              <w:rPr>
                <w:sz w:val="20"/>
              </w:rPr>
            </w:pPr>
            <w:r>
              <w:rPr>
                <w:w w:val="100"/>
                <w:sz w:val="20"/>
              </w:rPr>
              <w:t>4</w:t>
            </w:r>
          </w:p>
        </w:tc>
        <w:tc>
          <w:tcPr>
            <w:tcW w:w="8054" w:type="dxa"/>
          </w:tcPr>
          <w:p>
            <w:pPr>
              <w:pStyle w:val="TableParagraph"/>
              <w:rPr>
                <w:sz w:val="20"/>
              </w:rPr>
            </w:pPr>
            <w:r>
              <w:rPr>
                <w:sz w:val="20"/>
              </w:rPr>
              <w:t>Caviar</w:t>
            </w:r>
          </w:p>
        </w:tc>
      </w:tr>
      <w:tr>
        <w:trPr>
          <w:trHeight w:val="230" w:hRule="atLeast"/>
        </w:trPr>
        <w:tc>
          <w:tcPr>
            <w:tcW w:w="468" w:type="dxa"/>
          </w:tcPr>
          <w:p>
            <w:pPr>
              <w:pStyle w:val="TableParagraph"/>
              <w:ind w:left="107"/>
              <w:rPr>
                <w:sz w:val="20"/>
              </w:rPr>
            </w:pPr>
            <w:r>
              <w:rPr>
                <w:w w:val="100"/>
                <w:sz w:val="20"/>
              </w:rPr>
              <w:t>5</w:t>
            </w:r>
          </w:p>
        </w:tc>
        <w:tc>
          <w:tcPr>
            <w:tcW w:w="8054" w:type="dxa"/>
          </w:tcPr>
          <w:p>
            <w:pPr>
              <w:pStyle w:val="TableParagraph"/>
              <w:rPr>
                <w:sz w:val="20"/>
              </w:rPr>
            </w:pPr>
            <w:r>
              <w:rPr>
                <w:sz w:val="20"/>
              </w:rPr>
              <w:t>Crustaceans (all), eg rock lobsters</w:t>
            </w:r>
          </w:p>
        </w:tc>
      </w:tr>
      <w:tr>
        <w:trPr>
          <w:trHeight w:val="230" w:hRule="atLeast"/>
        </w:trPr>
        <w:tc>
          <w:tcPr>
            <w:tcW w:w="468" w:type="dxa"/>
          </w:tcPr>
          <w:p>
            <w:pPr>
              <w:pStyle w:val="TableParagraph"/>
              <w:ind w:left="107"/>
              <w:rPr>
                <w:sz w:val="20"/>
              </w:rPr>
            </w:pPr>
            <w:r>
              <w:rPr>
                <w:w w:val="100"/>
                <w:sz w:val="20"/>
              </w:rPr>
              <w:t>6</w:t>
            </w:r>
          </w:p>
        </w:tc>
        <w:tc>
          <w:tcPr>
            <w:tcW w:w="8054" w:type="dxa"/>
          </w:tcPr>
          <w:p>
            <w:pPr>
              <w:pStyle w:val="TableParagraph"/>
              <w:rPr>
                <w:sz w:val="20"/>
              </w:rPr>
            </w:pPr>
            <w:r>
              <w:rPr>
                <w:sz w:val="20"/>
              </w:rPr>
              <w:t>Abalone</w:t>
            </w:r>
          </w:p>
        </w:tc>
      </w:tr>
      <w:tr>
        <w:trPr>
          <w:trHeight w:val="230" w:hRule="atLeast"/>
        </w:trPr>
        <w:tc>
          <w:tcPr>
            <w:tcW w:w="468" w:type="dxa"/>
          </w:tcPr>
          <w:p>
            <w:pPr>
              <w:pStyle w:val="TableParagraph"/>
              <w:ind w:left="107"/>
              <w:rPr>
                <w:sz w:val="20"/>
              </w:rPr>
            </w:pPr>
            <w:r>
              <w:rPr>
                <w:w w:val="100"/>
                <w:sz w:val="20"/>
              </w:rPr>
              <w:t>7</w:t>
            </w:r>
          </w:p>
        </w:tc>
        <w:tc>
          <w:tcPr>
            <w:tcW w:w="8054" w:type="dxa"/>
          </w:tcPr>
          <w:p>
            <w:pPr>
              <w:pStyle w:val="TableParagraph"/>
              <w:rPr>
                <w:sz w:val="20"/>
              </w:rPr>
            </w:pPr>
            <w:r>
              <w:rPr>
                <w:sz w:val="20"/>
              </w:rPr>
              <w:t>Molluscs and aquatic invertebrates, eg oyster in any form</w:t>
            </w:r>
          </w:p>
        </w:tc>
      </w:tr>
      <w:tr>
        <w:trPr>
          <w:trHeight w:val="230" w:hRule="atLeast"/>
        </w:trPr>
        <w:tc>
          <w:tcPr>
            <w:tcW w:w="468" w:type="dxa"/>
          </w:tcPr>
          <w:p>
            <w:pPr>
              <w:pStyle w:val="TableParagraph"/>
              <w:ind w:left="107"/>
              <w:rPr>
                <w:sz w:val="20"/>
              </w:rPr>
            </w:pPr>
            <w:r>
              <w:rPr>
                <w:w w:val="100"/>
                <w:sz w:val="20"/>
              </w:rPr>
              <w:t>8</w:t>
            </w:r>
          </w:p>
        </w:tc>
        <w:tc>
          <w:tcPr>
            <w:tcW w:w="8054" w:type="dxa"/>
          </w:tcPr>
          <w:p>
            <w:pPr>
              <w:pStyle w:val="TableParagraph"/>
              <w:rPr>
                <w:sz w:val="20"/>
              </w:rPr>
            </w:pPr>
            <w:r>
              <w:rPr>
                <w:sz w:val="20"/>
              </w:rPr>
              <w:t>Automobiles and other vehicles to transport people</w:t>
            </w:r>
          </w:p>
        </w:tc>
      </w:tr>
      <w:tr>
        <w:trPr>
          <w:trHeight w:val="230" w:hRule="atLeast"/>
        </w:trPr>
        <w:tc>
          <w:tcPr>
            <w:tcW w:w="468" w:type="dxa"/>
          </w:tcPr>
          <w:p>
            <w:pPr>
              <w:pStyle w:val="TableParagraph"/>
              <w:ind w:left="107"/>
              <w:rPr>
                <w:sz w:val="20"/>
              </w:rPr>
            </w:pPr>
            <w:r>
              <w:rPr>
                <w:w w:val="100"/>
                <w:sz w:val="20"/>
              </w:rPr>
              <w:t>9</w:t>
            </w:r>
          </w:p>
        </w:tc>
        <w:tc>
          <w:tcPr>
            <w:tcW w:w="8054" w:type="dxa"/>
          </w:tcPr>
          <w:p>
            <w:pPr>
              <w:pStyle w:val="TableParagraph"/>
              <w:rPr>
                <w:sz w:val="20"/>
              </w:rPr>
            </w:pPr>
            <w:r>
              <w:rPr>
                <w:sz w:val="20"/>
              </w:rPr>
              <w:t>Yachts and pleasure craft</w:t>
            </w:r>
          </w:p>
        </w:tc>
      </w:tr>
      <w:tr>
        <w:trPr>
          <w:trHeight w:val="230" w:hRule="atLeast"/>
        </w:trPr>
        <w:tc>
          <w:tcPr>
            <w:tcW w:w="468" w:type="dxa"/>
          </w:tcPr>
          <w:p>
            <w:pPr>
              <w:pStyle w:val="TableParagraph"/>
              <w:ind w:left="107"/>
              <w:rPr>
                <w:sz w:val="20"/>
              </w:rPr>
            </w:pPr>
            <w:r>
              <w:rPr>
                <w:sz w:val="20"/>
              </w:rPr>
              <w:t>10</w:t>
            </w:r>
          </w:p>
        </w:tc>
        <w:tc>
          <w:tcPr>
            <w:tcW w:w="8054" w:type="dxa"/>
          </w:tcPr>
          <w:p>
            <w:pPr>
              <w:pStyle w:val="TableParagraph"/>
              <w:rPr>
                <w:sz w:val="20"/>
              </w:rPr>
            </w:pPr>
            <w:r>
              <w:rPr>
                <w:sz w:val="20"/>
              </w:rPr>
              <w:t>Perfumes and toilet waters</w:t>
            </w:r>
          </w:p>
        </w:tc>
      </w:tr>
      <w:tr>
        <w:trPr>
          <w:trHeight w:val="230" w:hRule="atLeast"/>
        </w:trPr>
        <w:tc>
          <w:tcPr>
            <w:tcW w:w="468" w:type="dxa"/>
          </w:tcPr>
          <w:p>
            <w:pPr>
              <w:pStyle w:val="TableParagraph"/>
              <w:ind w:left="107"/>
              <w:rPr>
                <w:sz w:val="20"/>
              </w:rPr>
            </w:pPr>
            <w:r>
              <w:rPr>
                <w:sz w:val="20"/>
              </w:rPr>
              <w:t>11</w:t>
            </w:r>
          </w:p>
        </w:tc>
        <w:tc>
          <w:tcPr>
            <w:tcW w:w="8054" w:type="dxa"/>
          </w:tcPr>
          <w:p>
            <w:pPr>
              <w:pStyle w:val="TableParagraph"/>
              <w:rPr>
                <w:sz w:val="20"/>
              </w:rPr>
            </w:pPr>
            <w:r>
              <w:rPr>
                <w:sz w:val="20"/>
              </w:rPr>
              <w:t>Cosmetics (all)</w:t>
            </w:r>
          </w:p>
        </w:tc>
      </w:tr>
      <w:tr>
        <w:trPr>
          <w:trHeight w:val="230" w:hRule="atLeast"/>
        </w:trPr>
        <w:tc>
          <w:tcPr>
            <w:tcW w:w="468" w:type="dxa"/>
          </w:tcPr>
          <w:p>
            <w:pPr>
              <w:pStyle w:val="TableParagraph"/>
              <w:ind w:left="107"/>
              <w:rPr>
                <w:sz w:val="20"/>
              </w:rPr>
            </w:pPr>
            <w:r>
              <w:rPr>
                <w:sz w:val="20"/>
              </w:rPr>
              <w:t>12</w:t>
            </w:r>
          </w:p>
        </w:tc>
        <w:tc>
          <w:tcPr>
            <w:tcW w:w="8054" w:type="dxa"/>
          </w:tcPr>
          <w:p>
            <w:pPr>
              <w:pStyle w:val="TableParagraph"/>
              <w:rPr>
                <w:sz w:val="20"/>
              </w:rPr>
            </w:pPr>
            <w:r>
              <w:rPr>
                <w:sz w:val="20"/>
              </w:rPr>
              <w:t>Furs</w:t>
            </w:r>
          </w:p>
        </w:tc>
      </w:tr>
      <w:tr>
        <w:trPr>
          <w:trHeight w:val="230" w:hRule="atLeast"/>
        </w:trPr>
        <w:tc>
          <w:tcPr>
            <w:tcW w:w="468" w:type="dxa"/>
          </w:tcPr>
          <w:p>
            <w:pPr>
              <w:pStyle w:val="TableParagraph"/>
              <w:ind w:left="107"/>
              <w:rPr>
                <w:sz w:val="20"/>
              </w:rPr>
            </w:pPr>
            <w:r>
              <w:rPr>
                <w:sz w:val="20"/>
              </w:rPr>
              <w:t>13</w:t>
            </w:r>
          </w:p>
        </w:tc>
        <w:tc>
          <w:tcPr>
            <w:tcW w:w="8054" w:type="dxa"/>
          </w:tcPr>
          <w:p>
            <w:pPr>
              <w:pStyle w:val="TableParagraph"/>
              <w:rPr>
                <w:sz w:val="20"/>
              </w:rPr>
            </w:pPr>
            <w:r>
              <w:rPr>
                <w:sz w:val="20"/>
              </w:rPr>
              <w:t>Silver</w:t>
            </w:r>
          </w:p>
        </w:tc>
      </w:tr>
      <w:tr>
        <w:trPr>
          <w:trHeight w:val="230" w:hRule="atLeast"/>
        </w:trPr>
        <w:tc>
          <w:tcPr>
            <w:tcW w:w="468" w:type="dxa"/>
          </w:tcPr>
          <w:p>
            <w:pPr>
              <w:pStyle w:val="TableParagraph"/>
              <w:ind w:left="107"/>
              <w:rPr>
                <w:sz w:val="20"/>
              </w:rPr>
            </w:pPr>
            <w:r>
              <w:rPr>
                <w:sz w:val="20"/>
              </w:rPr>
              <w:t>14</w:t>
            </w:r>
          </w:p>
        </w:tc>
        <w:tc>
          <w:tcPr>
            <w:tcW w:w="8054" w:type="dxa"/>
          </w:tcPr>
          <w:p>
            <w:pPr>
              <w:pStyle w:val="TableParagraph"/>
              <w:rPr>
                <w:sz w:val="20"/>
              </w:rPr>
            </w:pPr>
            <w:r>
              <w:rPr>
                <w:sz w:val="20"/>
              </w:rPr>
              <w:t>Gold</w:t>
            </w:r>
          </w:p>
        </w:tc>
      </w:tr>
      <w:tr>
        <w:trPr>
          <w:trHeight w:val="230" w:hRule="atLeast"/>
        </w:trPr>
        <w:tc>
          <w:tcPr>
            <w:tcW w:w="468" w:type="dxa"/>
          </w:tcPr>
          <w:p>
            <w:pPr>
              <w:pStyle w:val="TableParagraph"/>
              <w:ind w:left="107"/>
              <w:rPr>
                <w:sz w:val="20"/>
              </w:rPr>
            </w:pPr>
            <w:r>
              <w:rPr>
                <w:sz w:val="20"/>
              </w:rPr>
              <w:t>15</w:t>
            </w:r>
          </w:p>
        </w:tc>
        <w:tc>
          <w:tcPr>
            <w:tcW w:w="8054" w:type="dxa"/>
          </w:tcPr>
          <w:p>
            <w:pPr>
              <w:pStyle w:val="TableParagraph"/>
              <w:rPr>
                <w:sz w:val="20"/>
              </w:rPr>
            </w:pPr>
            <w:r>
              <w:rPr>
                <w:sz w:val="20"/>
              </w:rPr>
              <w:t>Jewellery</w:t>
            </w:r>
          </w:p>
        </w:tc>
      </w:tr>
      <w:tr>
        <w:trPr>
          <w:trHeight w:val="230" w:hRule="atLeast"/>
        </w:trPr>
        <w:tc>
          <w:tcPr>
            <w:tcW w:w="468" w:type="dxa"/>
          </w:tcPr>
          <w:p>
            <w:pPr>
              <w:pStyle w:val="TableParagraph"/>
              <w:ind w:left="107"/>
              <w:rPr>
                <w:sz w:val="20"/>
              </w:rPr>
            </w:pPr>
            <w:r>
              <w:rPr>
                <w:sz w:val="20"/>
              </w:rPr>
              <w:t>16</w:t>
            </w:r>
          </w:p>
        </w:tc>
        <w:tc>
          <w:tcPr>
            <w:tcW w:w="8054" w:type="dxa"/>
          </w:tcPr>
          <w:p>
            <w:pPr>
              <w:pStyle w:val="TableParagraph"/>
              <w:rPr>
                <w:sz w:val="20"/>
              </w:rPr>
            </w:pPr>
            <w:r>
              <w:rPr>
                <w:sz w:val="20"/>
              </w:rPr>
              <w:t>Precious and Semi Precious Stones (including diamonds and pearls)</w:t>
            </w:r>
          </w:p>
        </w:tc>
      </w:tr>
      <w:tr>
        <w:trPr>
          <w:trHeight w:val="230" w:hRule="atLeast"/>
        </w:trPr>
        <w:tc>
          <w:tcPr>
            <w:tcW w:w="468" w:type="dxa"/>
          </w:tcPr>
          <w:p>
            <w:pPr>
              <w:pStyle w:val="TableParagraph"/>
              <w:ind w:left="107"/>
              <w:rPr>
                <w:sz w:val="20"/>
              </w:rPr>
            </w:pPr>
            <w:r>
              <w:rPr>
                <w:sz w:val="20"/>
              </w:rPr>
              <w:t>17</w:t>
            </w:r>
          </w:p>
        </w:tc>
        <w:tc>
          <w:tcPr>
            <w:tcW w:w="8054" w:type="dxa"/>
          </w:tcPr>
          <w:p>
            <w:pPr>
              <w:pStyle w:val="TableParagraph"/>
              <w:rPr>
                <w:sz w:val="20"/>
              </w:rPr>
            </w:pPr>
            <w:r>
              <w:rPr>
                <w:sz w:val="20"/>
              </w:rPr>
              <w:t>Drinking glasses (lead crystal)</w:t>
            </w:r>
          </w:p>
        </w:tc>
      </w:tr>
      <w:tr>
        <w:trPr>
          <w:trHeight w:val="230" w:hRule="atLeast"/>
        </w:trPr>
        <w:tc>
          <w:tcPr>
            <w:tcW w:w="468" w:type="dxa"/>
          </w:tcPr>
          <w:p>
            <w:pPr>
              <w:pStyle w:val="TableParagraph"/>
              <w:ind w:left="107"/>
              <w:rPr>
                <w:sz w:val="20"/>
              </w:rPr>
            </w:pPr>
            <w:r>
              <w:rPr>
                <w:sz w:val="20"/>
              </w:rPr>
              <w:t>18</w:t>
            </w:r>
          </w:p>
        </w:tc>
        <w:tc>
          <w:tcPr>
            <w:tcW w:w="8054" w:type="dxa"/>
          </w:tcPr>
          <w:p>
            <w:pPr>
              <w:pStyle w:val="TableParagraph"/>
              <w:rPr>
                <w:sz w:val="20"/>
              </w:rPr>
            </w:pPr>
            <w:r>
              <w:rPr>
                <w:sz w:val="20"/>
              </w:rPr>
              <w:t>Works of Art (all)</w:t>
            </w:r>
          </w:p>
        </w:tc>
      </w:tr>
      <w:tr>
        <w:trPr>
          <w:trHeight w:val="228" w:hRule="atLeast"/>
        </w:trPr>
        <w:tc>
          <w:tcPr>
            <w:tcW w:w="468" w:type="dxa"/>
          </w:tcPr>
          <w:p>
            <w:pPr>
              <w:pStyle w:val="TableParagraph"/>
              <w:spacing w:line="209" w:lineRule="exact"/>
              <w:ind w:left="107"/>
              <w:rPr>
                <w:sz w:val="20"/>
              </w:rPr>
            </w:pPr>
            <w:r>
              <w:rPr>
                <w:sz w:val="20"/>
              </w:rPr>
              <w:t>19</w:t>
            </w:r>
          </w:p>
        </w:tc>
        <w:tc>
          <w:tcPr>
            <w:tcW w:w="8054" w:type="dxa"/>
          </w:tcPr>
          <w:p>
            <w:pPr>
              <w:pStyle w:val="TableParagraph"/>
              <w:spacing w:line="209" w:lineRule="exact"/>
              <w:rPr>
                <w:sz w:val="20"/>
              </w:rPr>
            </w:pPr>
            <w:r>
              <w:rPr>
                <w:sz w:val="20"/>
              </w:rPr>
              <w:t>Fountain Pens</w:t>
            </w:r>
          </w:p>
        </w:tc>
      </w:tr>
      <w:tr>
        <w:trPr>
          <w:trHeight w:val="230" w:hRule="atLeast"/>
        </w:trPr>
        <w:tc>
          <w:tcPr>
            <w:tcW w:w="468" w:type="dxa"/>
          </w:tcPr>
          <w:p>
            <w:pPr>
              <w:pStyle w:val="TableParagraph"/>
              <w:ind w:left="107"/>
              <w:rPr>
                <w:sz w:val="20"/>
              </w:rPr>
            </w:pPr>
            <w:r>
              <w:rPr>
                <w:sz w:val="20"/>
              </w:rPr>
              <w:t>20</w:t>
            </w:r>
          </w:p>
        </w:tc>
        <w:tc>
          <w:tcPr>
            <w:tcW w:w="8054" w:type="dxa"/>
          </w:tcPr>
          <w:p>
            <w:pPr>
              <w:pStyle w:val="TableParagraph"/>
              <w:rPr>
                <w:sz w:val="20"/>
              </w:rPr>
            </w:pPr>
            <w:r>
              <w:rPr>
                <w:sz w:val="20"/>
              </w:rPr>
              <w:t>Watches &amp; Clocks</w:t>
            </w:r>
          </w:p>
        </w:tc>
      </w:tr>
      <w:tr>
        <w:trPr>
          <w:trHeight w:val="230" w:hRule="atLeast"/>
        </w:trPr>
        <w:tc>
          <w:tcPr>
            <w:tcW w:w="468" w:type="dxa"/>
          </w:tcPr>
          <w:p>
            <w:pPr>
              <w:pStyle w:val="TableParagraph"/>
              <w:ind w:left="107"/>
              <w:rPr>
                <w:sz w:val="20"/>
              </w:rPr>
            </w:pPr>
            <w:r>
              <w:rPr>
                <w:sz w:val="20"/>
              </w:rPr>
              <w:t>21</w:t>
            </w:r>
          </w:p>
        </w:tc>
        <w:tc>
          <w:tcPr>
            <w:tcW w:w="8054" w:type="dxa"/>
          </w:tcPr>
          <w:p>
            <w:pPr>
              <w:pStyle w:val="TableParagraph"/>
              <w:rPr>
                <w:sz w:val="20"/>
              </w:rPr>
            </w:pPr>
            <w:r>
              <w:rPr>
                <w:sz w:val="20"/>
              </w:rPr>
              <w:t>Carpets</w:t>
            </w:r>
          </w:p>
        </w:tc>
      </w:tr>
      <w:tr>
        <w:trPr>
          <w:trHeight w:val="230" w:hRule="atLeast"/>
        </w:trPr>
        <w:tc>
          <w:tcPr>
            <w:tcW w:w="468" w:type="dxa"/>
          </w:tcPr>
          <w:p>
            <w:pPr>
              <w:pStyle w:val="TableParagraph"/>
              <w:ind w:left="107"/>
              <w:rPr>
                <w:sz w:val="20"/>
              </w:rPr>
            </w:pPr>
            <w:r>
              <w:rPr>
                <w:sz w:val="20"/>
              </w:rPr>
              <w:t>22</w:t>
            </w:r>
          </w:p>
        </w:tc>
        <w:tc>
          <w:tcPr>
            <w:tcW w:w="8054" w:type="dxa"/>
          </w:tcPr>
          <w:p>
            <w:pPr>
              <w:pStyle w:val="TableParagraph"/>
              <w:rPr>
                <w:sz w:val="20"/>
              </w:rPr>
            </w:pPr>
            <w:r>
              <w:rPr>
                <w:sz w:val="20"/>
              </w:rPr>
              <w:t>Precious Metals</w:t>
            </w:r>
          </w:p>
        </w:tc>
      </w:tr>
      <w:tr>
        <w:trPr>
          <w:trHeight w:val="230" w:hRule="atLeast"/>
        </w:trPr>
        <w:tc>
          <w:tcPr>
            <w:tcW w:w="468" w:type="dxa"/>
          </w:tcPr>
          <w:p>
            <w:pPr>
              <w:pStyle w:val="TableParagraph"/>
              <w:ind w:left="107"/>
              <w:rPr>
                <w:sz w:val="20"/>
              </w:rPr>
            </w:pPr>
            <w:r>
              <w:rPr>
                <w:sz w:val="20"/>
              </w:rPr>
              <w:t>23</w:t>
            </w:r>
          </w:p>
        </w:tc>
        <w:tc>
          <w:tcPr>
            <w:tcW w:w="8054" w:type="dxa"/>
          </w:tcPr>
          <w:p>
            <w:pPr>
              <w:pStyle w:val="TableParagraph"/>
              <w:rPr>
                <w:sz w:val="20"/>
              </w:rPr>
            </w:pPr>
            <w:r>
              <w:rPr>
                <w:sz w:val="20"/>
              </w:rPr>
              <w:t>Leather travel goods, apparel and clothing accessories</w:t>
            </w:r>
          </w:p>
        </w:tc>
      </w:tr>
      <w:tr>
        <w:trPr>
          <w:trHeight w:val="460" w:hRule="atLeast"/>
        </w:trPr>
        <w:tc>
          <w:tcPr>
            <w:tcW w:w="468" w:type="dxa"/>
          </w:tcPr>
          <w:p>
            <w:pPr>
              <w:pStyle w:val="TableParagraph"/>
              <w:spacing w:line="227" w:lineRule="exact"/>
              <w:ind w:left="107"/>
              <w:rPr>
                <w:sz w:val="20"/>
              </w:rPr>
            </w:pPr>
            <w:r>
              <w:rPr>
                <w:sz w:val="20"/>
              </w:rPr>
              <w:t>24</w:t>
            </w:r>
          </w:p>
        </w:tc>
        <w:tc>
          <w:tcPr>
            <w:tcW w:w="8054" w:type="dxa"/>
          </w:tcPr>
          <w:p>
            <w:pPr>
              <w:pStyle w:val="TableParagraph"/>
              <w:spacing w:line="230" w:lineRule="exact"/>
              <w:ind w:right="260" w:hanging="1"/>
              <w:rPr>
                <w:sz w:val="20"/>
              </w:rPr>
            </w:pPr>
            <w:r>
              <w:rPr>
                <w:sz w:val="20"/>
              </w:rPr>
              <w:t>Consumer Electronics (televisions, videos, DVD players, PDAs, laptops, MP3 players - and any other relevant exports)</w:t>
            </w:r>
          </w:p>
        </w:tc>
      </w:tr>
      <w:tr>
        <w:trPr>
          <w:trHeight w:val="230" w:hRule="atLeast"/>
        </w:trPr>
        <w:tc>
          <w:tcPr>
            <w:tcW w:w="468" w:type="dxa"/>
          </w:tcPr>
          <w:p>
            <w:pPr>
              <w:pStyle w:val="TableParagraph"/>
              <w:ind w:left="107"/>
              <w:rPr>
                <w:sz w:val="20"/>
              </w:rPr>
            </w:pPr>
            <w:r>
              <w:rPr>
                <w:sz w:val="20"/>
              </w:rPr>
              <w:t>25</w:t>
            </w:r>
          </w:p>
        </w:tc>
        <w:tc>
          <w:tcPr>
            <w:tcW w:w="8054" w:type="dxa"/>
          </w:tcPr>
          <w:p>
            <w:pPr>
              <w:pStyle w:val="TableParagraph"/>
              <w:rPr>
                <w:sz w:val="20"/>
              </w:rPr>
            </w:pPr>
            <w:r>
              <w:rPr>
                <w:sz w:val="20"/>
              </w:rPr>
              <w:t>Photographic equipment</w:t>
            </w:r>
          </w:p>
        </w:tc>
      </w:tr>
      <w:tr>
        <w:trPr>
          <w:trHeight w:val="230" w:hRule="atLeast"/>
        </w:trPr>
        <w:tc>
          <w:tcPr>
            <w:tcW w:w="468" w:type="dxa"/>
          </w:tcPr>
          <w:p>
            <w:pPr>
              <w:pStyle w:val="TableParagraph"/>
              <w:ind w:left="107"/>
              <w:rPr>
                <w:sz w:val="20"/>
              </w:rPr>
            </w:pPr>
            <w:r>
              <w:rPr>
                <w:sz w:val="20"/>
              </w:rPr>
              <w:t>26</w:t>
            </w:r>
          </w:p>
        </w:tc>
        <w:tc>
          <w:tcPr>
            <w:tcW w:w="8054" w:type="dxa"/>
          </w:tcPr>
          <w:p>
            <w:pPr>
              <w:pStyle w:val="TableParagraph"/>
              <w:rPr>
                <w:sz w:val="20"/>
              </w:rPr>
            </w:pPr>
            <w:r>
              <w:rPr>
                <w:sz w:val="20"/>
              </w:rPr>
              <w:t>Electronic entertainment / software</w:t>
            </w:r>
          </w:p>
        </w:tc>
      </w:tr>
      <w:tr>
        <w:trPr>
          <w:trHeight w:val="230" w:hRule="atLeast"/>
        </w:trPr>
        <w:tc>
          <w:tcPr>
            <w:tcW w:w="468" w:type="dxa"/>
          </w:tcPr>
          <w:p>
            <w:pPr>
              <w:pStyle w:val="TableParagraph"/>
              <w:ind w:left="107"/>
              <w:rPr>
                <w:sz w:val="20"/>
              </w:rPr>
            </w:pPr>
            <w:r>
              <w:rPr>
                <w:sz w:val="20"/>
              </w:rPr>
              <w:t>27</w:t>
            </w:r>
          </w:p>
        </w:tc>
        <w:tc>
          <w:tcPr>
            <w:tcW w:w="8054" w:type="dxa"/>
          </w:tcPr>
          <w:p>
            <w:pPr>
              <w:pStyle w:val="TableParagraph"/>
              <w:rPr>
                <w:sz w:val="20"/>
              </w:rPr>
            </w:pPr>
            <w:r>
              <w:rPr>
                <w:sz w:val="20"/>
              </w:rPr>
              <w:t>Sports Equipment</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4"/>
        </w:rPr>
      </w:pPr>
    </w:p>
    <w:p>
      <w:pPr>
        <w:pStyle w:val="BodyText"/>
        <w:spacing w:before="94"/>
        <w:ind w:right="1697"/>
        <w:jc w:val="right"/>
      </w:pPr>
      <w:r>
        <w:rPr>
          <w:w w:val="100"/>
        </w:rPr>
        <w:t>2</w:t>
      </w:r>
    </w:p>
    <w:sectPr>
      <w:pgSz w:w="1191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United Nations Security Council (UNSC) Resolution 1718: Sanctions on the export of luxury goods to the Democratic People's Republic of Korea (North Korea)</dc:subject>
  <dc:title>Australian Customs Notice 2007/02</dc:title>
  <dcterms:created xsi:type="dcterms:W3CDTF">2020-12-09T22:44:08Z</dcterms:created>
  <dcterms:modified xsi:type="dcterms:W3CDTF">2020-12-09T22:44:08Z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2007-01-12T00:00:00Z</vt:filetime>
  </property>
  <property fmtid="{D5CDD505-2E9C-101B-9397-08002B2CF9AE}" pid="3" name="Creator">
    <vt:lpwstr>Acrobat PDFMaker 7.0.7 for Word</vt:lpwstr>
  </property>
  <property fmtid="{D5CDD505-2E9C-101B-9397-08002B2CF9AE}" pid="4" name="LastSaved">
    <vt:filetime>2020-12-09T00:00:00Z</vt:filetime>
  </property>
</Properties>
</file>