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-1289541</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 " w:id="1"/>
      <w:bookmarkEnd w:id="1"/>
      <w:r>
        <w:rPr>
          <w:b w:val="0"/>
        </w:rPr>
      </w:r>
      <w:bookmarkStart w:name="AUSTRALIAN CUSTOMS NOTICE NO. 2007/14 " w:id="2"/>
      <w:bookmarkEnd w:id="2"/>
      <w:r>
        <w:rPr>
          <w:b w:val="0"/>
        </w:rPr>
      </w:r>
      <w:r>
        <w:rPr/>
        <w:t>AUSTRALIAN CUSTOMS NOTICE NO. 2007/14</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spacing w:before="91"/>
        <w:ind w:left="4870" w:right="2350" w:hanging="2505"/>
        <w:jc w:val="left"/>
        <w:rPr>
          <w:sz w:val="28"/>
        </w:rPr>
      </w:pPr>
      <w:bookmarkStart w:name="Customs Tariff Amendment (Incorporation " w:id="3"/>
      <w:bookmarkEnd w:id="3"/>
      <w:r>
        <w:rPr/>
      </w:r>
      <w:r>
        <w:rPr>
          <w:sz w:val="28"/>
        </w:rPr>
        <w:t>Customs Tariff Amendment (Incorporation of Proposals) – Act No. 2 of 2007</w:t>
      </w:r>
    </w:p>
    <w:p>
      <w:pPr>
        <w:pStyle w:val="BodyText"/>
        <w:rPr>
          <w:sz w:val="25"/>
        </w:rPr>
      </w:pPr>
    </w:p>
    <w:p>
      <w:pPr>
        <w:spacing w:before="0"/>
        <w:ind w:left="1701" w:right="2051" w:firstLine="0"/>
        <w:jc w:val="left"/>
        <w:rPr>
          <w:sz w:val="20"/>
        </w:rPr>
      </w:pPr>
      <w:r>
        <w:rPr>
          <w:sz w:val="20"/>
        </w:rPr>
        <w:t>The </w:t>
      </w:r>
      <w:r>
        <w:rPr>
          <w:i/>
          <w:sz w:val="20"/>
        </w:rPr>
        <w:t>Customs Tariff Amendment (Incorporation of Proposals) Act 2007 </w:t>
      </w:r>
      <w:r>
        <w:rPr>
          <w:sz w:val="20"/>
        </w:rPr>
        <w:t>received the Royal Assent on 19 February 2007, as Act No. 2 of 2007. The Act amends the </w:t>
      </w:r>
      <w:r>
        <w:rPr>
          <w:i/>
          <w:sz w:val="20"/>
        </w:rPr>
        <w:t>Customs Tariff Act 1995 </w:t>
      </w:r>
      <w:r>
        <w:rPr>
          <w:sz w:val="20"/>
        </w:rPr>
        <w:t>(the Customs Tariff) by enacting changes previously included in the following Customs Tariff Proposals:</w:t>
      </w:r>
    </w:p>
    <w:p>
      <w:pPr>
        <w:pStyle w:val="BodyText"/>
        <w:spacing w:before="1"/>
        <w:rPr>
          <w:sz w:val="21"/>
        </w:rPr>
      </w:pPr>
    </w:p>
    <w:p>
      <w:pPr>
        <w:pStyle w:val="ListParagraph"/>
        <w:numPr>
          <w:ilvl w:val="0"/>
          <w:numId w:val="1"/>
        </w:numPr>
        <w:tabs>
          <w:tab w:pos="2422" w:val="left" w:leader="none"/>
        </w:tabs>
        <w:spacing w:line="240" w:lineRule="auto" w:before="0" w:after="0"/>
        <w:ind w:left="2421" w:right="1822" w:hanging="360"/>
        <w:jc w:val="both"/>
        <w:rPr>
          <w:sz w:val="20"/>
        </w:rPr>
      </w:pPr>
      <w:r>
        <w:rPr>
          <w:sz w:val="20"/>
        </w:rPr>
        <w:t>Customs Tariff Proposal (No. 4) 2005 – This Proposal removed the 3% customs duty that applied to goods the subject of item 47 in Part III of Schedule 4 to the Customs Tariff and replaced it with a duty rate of Free. This amendment applies to goods entered for home consumption on or after 11 May 2005. ACN 2005/58</w:t>
      </w:r>
      <w:r>
        <w:rPr>
          <w:spacing w:val="-12"/>
          <w:sz w:val="20"/>
        </w:rPr>
        <w:t> </w:t>
      </w:r>
      <w:r>
        <w:rPr>
          <w:sz w:val="20"/>
        </w:rPr>
        <w:t>refers;</w:t>
      </w:r>
    </w:p>
    <w:p>
      <w:pPr>
        <w:pStyle w:val="BodyText"/>
        <w:spacing w:before="3"/>
        <w:rPr>
          <w:sz w:val="21"/>
        </w:rPr>
      </w:pPr>
    </w:p>
    <w:p>
      <w:pPr>
        <w:pStyle w:val="ListParagraph"/>
        <w:numPr>
          <w:ilvl w:val="0"/>
          <w:numId w:val="1"/>
        </w:numPr>
        <w:tabs>
          <w:tab w:pos="2422" w:val="left" w:leader="none"/>
        </w:tabs>
        <w:spacing w:line="240" w:lineRule="auto" w:before="0" w:after="0"/>
        <w:ind w:left="2421" w:right="1820" w:hanging="360"/>
        <w:jc w:val="both"/>
        <w:rPr>
          <w:sz w:val="20"/>
        </w:rPr>
      </w:pPr>
      <w:r>
        <w:rPr>
          <w:sz w:val="20"/>
        </w:rPr>
        <w:t>Customs Tariff Proposal (No. 1) 2006 – This Proposal contained alterations to the Custom Tariff</w:t>
      </w:r>
      <w:r>
        <w:rPr>
          <w:spacing w:val="-3"/>
          <w:sz w:val="20"/>
        </w:rPr>
        <w:t> </w:t>
      </w:r>
      <w:r>
        <w:rPr>
          <w:sz w:val="20"/>
        </w:rPr>
        <w:t>that:</w:t>
      </w:r>
    </w:p>
    <w:p>
      <w:pPr>
        <w:pStyle w:val="BodyText"/>
      </w:pPr>
    </w:p>
    <w:p>
      <w:pPr>
        <w:pStyle w:val="ListParagraph"/>
        <w:numPr>
          <w:ilvl w:val="1"/>
          <w:numId w:val="1"/>
        </w:numPr>
        <w:tabs>
          <w:tab w:pos="3142" w:val="left" w:leader="none"/>
        </w:tabs>
        <w:spacing w:line="240" w:lineRule="auto" w:before="0" w:after="0"/>
        <w:ind w:left="3141" w:right="1821" w:hanging="360"/>
        <w:jc w:val="both"/>
        <w:rPr>
          <w:sz w:val="20"/>
        </w:rPr>
      </w:pPr>
      <w:r>
        <w:rPr>
          <w:sz w:val="20"/>
        </w:rPr>
        <w:t>expanded the terms of item 31 in Part II of Schedule 4 to include the duty free entry of certain aircraft parts, materials and test equipment for use in the modification of aircraft. This amendment applies to goods entered for home consumption on or after 1 July 2006. ACN 2006/30 refers;</w:t>
      </w:r>
      <w:r>
        <w:rPr>
          <w:spacing w:val="-12"/>
          <w:sz w:val="20"/>
        </w:rPr>
        <w:t> </w:t>
      </w:r>
      <w:r>
        <w:rPr>
          <w:sz w:val="20"/>
        </w:rPr>
        <w:t>and</w:t>
      </w:r>
    </w:p>
    <w:p>
      <w:pPr>
        <w:pStyle w:val="BodyText"/>
        <w:spacing w:before="10"/>
        <w:rPr>
          <w:sz w:val="19"/>
        </w:rPr>
      </w:pPr>
    </w:p>
    <w:p>
      <w:pPr>
        <w:pStyle w:val="ListParagraph"/>
        <w:numPr>
          <w:ilvl w:val="1"/>
          <w:numId w:val="1"/>
        </w:numPr>
        <w:tabs>
          <w:tab w:pos="3142" w:val="left" w:leader="none"/>
        </w:tabs>
        <w:spacing w:line="240" w:lineRule="auto" w:before="0" w:after="0"/>
        <w:ind w:left="3141" w:right="1821" w:hanging="360"/>
        <w:jc w:val="both"/>
        <w:rPr>
          <w:sz w:val="20"/>
        </w:rPr>
      </w:pPr>
      <w:r>
        <w:rPr>
          <w:sz w:val="20"/>
        </w:rPr>
        <w:t>expanded the Enhanced Project By-Law Scheme (item 71 in Part III of Schedule 4) to include the duty free entry of qualifying goods for the </w:t>
      </w:r>
      <w:r>
        <w:rPr>
          <w:spacing w:val="-3"/>
          <w:sz w:val="20"/>
        </w:rPr>
        <w:t>power  </w:t>
      </w:r>
      <w:r>
        <w:rPr>
          <w:sz w:val="20"/>
        </w:rPr>
        <w:t>supply and water supply industries, respectively. This amendment applies to qualifying goods that are imported into Australia, and entered for home consumption, on or after 1 July 2006. ACN 2006/30</w:t>
      </w:r>
      <w:r>
        <w:rPr>
          <w:spacing w:val="-11"/>
          <w:sz w:val="20"/>
        </w:rPr>
        <w:t> </w:t>
      </w:r>
      <w:r>
        <w:rPr>
          <w:sz w:val="20"/>
        </w:rPr>
        <w:t>refers.</w:t>
      </w:r>
    </w:p>
    <w:p>
      <w:pPr>
        <w:pStyle w:val="BodyText"/>
        <w:spacing w:before="11"/>
        <w:rPr>
          <w:sz w:val="19"/>
        </w:rPr>
      </w:pPr>
    </w:p>
    <w:p>
      <w:pPr>
        <w:pStyle w:val="BodyText"/>
        <w:ind w:left="1701"/>
      </w:pPr>
      <w:r>
        <w:rPr/>
        <w:t>Tariff reprint pages relevant to the above amendments have previously been issued.</w:t>
      </w:r>
    </w:p>
    <w:p>
      <w:pPr>
        <w:pStyle w:val="BodyText"/>
      </w:pPr>
    </w:p>
    <w:p>
      <w:pPr>
        <w:pStyle w:val="BodyText"/>
        <w:ind w:left="1701" w:right="1190"/>
      </w:pPr>
      <w:r>
        <w:rPr/>
        <w:t>Inquiries concerning this notice may be directed to the Manager Tariff Legislation on telephone number (02) 6275 6486.</w:t>
      </w:r>
    </w:p>
    <w:p>
      <w:pPr>
        <w:pStyle w:val="BodyText"/>
        <w:rPr>
          <w:sz w:val="22"/>
        </w:rPr>
      </w:pPr>
    </w:p>
    <w:p>
      <w:pPr>
        <w:pStyle w:val="BodyText"/>
        <w:rPr>
          <w:sz w:val="22"/>
        </w:rPr>
      </w:pPr>
    </w:p>
    <w:p>
      <w:pPr>
        <w:pStyle w:val="BodyText"/>
        <w:rPr>
          <w:sz w:val="22"/>
        </w:rPr>
      </w:pPr>
    </w:p>
    <w:p>
      <w:pPr>
        <w:pStyle w:val="BodyText"/>
        <w:spacing w:before="161"/>
        <w:ind w:left="1701" w:right="8154"/>
      </w:pPr>
      <w:r>
        <w:rPr/>
        <w:t>Philomena Carnell National Manager Trade Services Branch CANBERRA</w:t>
      </w:r>
      <w:r>
        <w:rPr>
          <w:spacing w:val="53"/>
        </w:rPr>
        <w:t> </w:t>
      </w:r>
      <w:r>
        <w:rPr/>
        <w:t>ACT</w:t>
      </w:r>
    </w:p>
    <w:p>
      <w:pPr>
        <w:pStyle w:val="BodyText"/>
        <w:spacing w:before="120"/>
        <w:ind w:left="2034"/>
      </w:pPr>
      <w:r>
        <w:rPr/>
        <w:t>February</w:t>
      </w:r>
      <w:r>
        <w:rPr>
          <w:spacing w:val="-11"/>
        </w:rPr>
        <w:t> </w:t>
      </w:r>
      <w:r>
        <w:rPr/>
        <w:t>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9"/>
        </w:rPr>
      </w:pPr>
      <w:r>
        <w:rPr/>
        <w:drawing>
          <wp:anchor distT="0" distB="0" distL="0" distR="0" allowOverlap="1" layoutInCell="1" locked="0" behindDoc="0" simplePos="0" relativeHeight="1">
            <wp:simplePos x="0" y="0"/>
            <wp:positionH relativeFrom="page">
              <wp:posOffset>5557265</wp:posOffset>
            </wp:positionH>
            <wp:positionV relativeFrom="paragraph">
              <wp:posOffset>237778</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6" cy="123825"/>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0"/>
      </w:pPr>
      <w:rPr>
        <w:rFonts w:hint="default" w:ascii="Arial" w:hAnsi="Arial" w:eastAsia="Arial" w:cs="Arial"/>
        <w:w w:val="131"/>
        <w:sz w:val="20"/>
        <w:szCs w:val="20"/>
      </w:rPr>
    </w:lvl>
    <w:lvl w:ilvl="1">
      <w:start w:val="0"/>
      <w:numFmt w:val="bullet"/>
      <w:lvlText w:val="-"/>
      <w:lvlJc w:val="left"/>
      <w:pPr>
        <w:ind w:left="3141" w:hanging="360"/>
      </w:pPr>
      <w:rPr>
        <w:rFonts w:hint="default" w:ascii="Times New Roman" w:hAnsi="Times New Roman" w:eastAsia="Times New Roman" w:cs="Times New Roman"/>
        <w:w w:val="100"/>
        <w:sz w:val="20"/>
        <w:szCs w:val="20"/>
      </w:rPr>
    </w:lvl>
    <w:lvl w:ilvl="2">
      <w:start w:val="0"/>
      <w:numFmt w:val="bullet"/>
      <w:lvlText w:val="•"/>
      <w:lvlJc w:val="left"/>
      <w:pPr>
        <w:ind w:left="4113" w:hanging="360"/>
      </w:pPr>
      <w:rPr>
        <w:rFonts w:hint="default"/>
      </w:rPr>
    </w:lvl>
    <w:lvl w:ilvl="3">
      <w:start w:val="0"/>
      <w:numFmt w:val="bullet"/>
      <w:lvlText w:val="•"/>
      <w:lvlJc w:val="left"/>
      <w:pPr>
        <w:ind w:left="5087" w:hanging="360"/>
      </w:pPr>
      <w:rPr>
        <w:rFonts w:hint="default"/>
      </w:rPr>
    </w:lvl>
    <w:lvl w:ilvl="4">
      <w:start w:val="0"/>
      <w:numFmt w:val="bullet"/>
      <w:lvlText w:val="•"/>
      <w:lvlJc w:val="left"/>
      <w:pPr>
        <w:ind w:left="6061" w:hanging="360"/>
      </w:pPr>
      <w:rPr>
        <w:rFonts w:hint="default"/>
      </w:rPr>
    </w:lvl>
    <w:lvl w:ilvl="5">
      <w:start w:val="0"/>
      <w:numFmt w:val="bullet"/>
      <w:lvlText w:val="•"/>
      <w:lvlJc w:val="left"/>
      <w:pPr>
        <w:ind w:left="7035" w:hanging="360"/>
      </w:pPr>
      <w:rPr>
        <w:rFonts w:hint="default"/>
      </w:rPr>
    </w:lvl>
    <w:lvl w:ilvl="6">
      <w:start w:val="0"/>
      <w:numFmt w:val="bullet"/>
      <w:lvlText w:val="•"/>
      <w:lvlJc w:val="left"/>
      <w:pPr>
        <w:ind w:left="8009" w:hanging="360"/>
      </w:pPr>
      <w:rPr>
        <w:rFonts w:hint="default"/>
      </w:rPr>
    </w:lvl>
    <w:lvl w:ilvl="7">
      <w:start w:val="0"/>
      <w:numFmt w:val="bullet"/>
      <w:lvlText w:val="•"/>
      <w:lvlJc w:val="left"/>
      <w:pPr>
        <w:ind w:left="8982" w:hanging="360"/>
      </w:pPr>
      <w:rPr>
        <w:rFonts w:hint="default"/>
      </w:rPr>
    </w:lvl>
    <w:lvl w:ilvl="8">
      <w:start w:val="0"/>
      <w:numFmt w:val="bullet"/>
      <w:lvlText w:val="•"/>
      <w:lvlJc w:val="left"/>
      <w:pPr>
        <w:ind w:left="995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2"/>
      <w:ind w:left="2887" w:right="2883"/>
      <w:jc w:val="center"/>
    </w:pPr>
    <w:rPr>
      <w:rFonts w:ascii="Arial" w:hAnsi="Arial" w:eastAsia="Arial" w:cs="Arial"/>
      <w:b/>
      <w:bCs/>
      <w:sz w:val="28"/>
      <w:szCs w:val="28"/>
    </w:rPr>
  </w:style>
  <w:style w:styleId="ListParagraph" w:type="paragraph">
    <w:name w:val="List Paragraph"/>
    <w:basedOn w:val="Normal"/>
    <w:uiPriority w:val="1"/>
    <w:qFormat/>
    <w:pPr>
      <w:ind w:left="2421" w:right="1821" w:hanging="360"/>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Customs Tariff Amendment (Incorporation of Proposals) - Act No. 2 of 2007</dc:subject>
  <dc:title>AUSTRALIAN CUSTOMS NOTICE NO. 2007/14</dc:title>
  <dcterms:created xsi:type="dcterms:W3CDTF">2020-12-09T22:48:18Z</dcterms:created>
  <dcterms:modified xsi:type="dcterms:W3CDTF">2020-12-09T22:48:18Z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2007-03-02T00:00:00Z</vt:filetime>
  </property>
  <property fmtid="{D5CDD505-2E9C-101B-9397-08002B2CF9AE}" pid="3" name="Creator">
    <vt:lpwstr>Acrobat PDFMaker 7.0 for Word</vt:lpwstr>
  </property>
  <property fmtid="{D5CDD505-2E9C-101B-9397-08002B2CF9AE}" pid="4" name="LastSaved">
    <vt:filetime>2020-12-09T00:00:00Z</vt:filetime>
  </property>
</Properties>
</file>