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0</wp:posOffset>
            </wp:positionH>
            <wp:positionV relativeFrom="page">
              <wp:posOffset>114300</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2"/>
        </w:rPr>
      </w:pPr>
    </w:p>
    <w:p>
      <w:pPr>
        <w:pStyle w:val="Title"/>
      </w:pPr>
      <w:bookmarkStart w:name="AUSTRALIAN CUSTOMS NOTICE NO. 2007/55" w:id="1"/>
      <w:bookmarkEnd w:id="1"/>
      <w:r>
        <w:rPr>
          <w:b w:val="0"/>
        </w:rPr>
      </w:r>
      <w:r>
        <w:rPr/>
        <w:t>AUSTRALIAN CUSTOMS NOTICE NO. 2007/55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rPr>
          <w:b/>
        </w:rPr>
      </w:pPr>
    </w:p>
    <w:p>
      <w:pPr>
        <w:pStyle w:val="BodyText"/>
        <w:rPr>
          <w:b/>
        </w:rPr>
      </w:pPr>
    </w:p>
    <w:p>
      <w:pPr>
        <w:pStyle w:val="BodyText"/>
        <w:spacing w:before="6"/>
        <w:rPr>
          <w:b/>
          <w:sz w:val="16"/>
        </w:rPr>
      </w:pPr>
    </w:p>
    <w:p>
      <w:pPr>
        <w:spacing w:before="92"/>
        <w:ind w:left="1701" w:right="0" w:firstLine="0"/>
        <w:jc w:val="left"/>
        <w:rPr>
          <w:rFonts w:ascii="Arial-BoldItalicMT"/>
          <w:b/>
          <w:i/>
          <w:sz w:val="24"/>
        </w:rPr>
      </w:pPr>
      <w:r>
        <w:rPr>
          <w:b/>
          <w:sz w:val="24"/>
        </w:rPr>
        <w:t>Amendment to the </w:t>
      </w:r>
      <w:r>
        <w:rPr>
          <w:rFonts w:ascii="Arial-BoldItalicMT"/>
          <w:b/>
          <w:i/>
          <w:sz w:val="24"/>
        </w:rPr>
        <w:t>Customs (Prohibited Exports) Regulations 1958</w:t>
      </w:r>
    </w:p>
    <w:p>
      <w:pPr>
        <w:spacing w:before="0"/>
        <w:ind w:left="1701" w:right="0" w:firstLine="0"/>
        <w:jc w:val="left"/>
        <w:rPr>
          <w:b/>
          <w:sz w:val="24"/>
        </w:rPr>
      </w:pPr>
      <w:r>
        <w:rPr>
          <w:b/>
          <w:sz w:val="24"/>
        </w:rPr>
        <w:t>Regulation 9 and Schedule 7 – Exportation of Nuclear Material</w:t>
      </w:r>
    </w:p>
    <w:p>
      <w:pPr>
        <w:pStyle w:val="BodyText"/>
        <w:rPr>
          <w:b/>
          <w:sz w:val="26"/>
        </w:rPr>
      </w:pPr>
    </w:p>
    <w:p>
      <w:pPr>
        <w:pStyle w:val="BodyText"/>
        <w:spacing w:before="11"/>
        <w:rPr>
          <w:b/>
          <w:sz w:val="33"/>
        </w:rPr>
      </w:pPr>
    </w:p>
    <w:p>
      <w:pPr>
        <w:spacing w:before="0"/>
        <w:ind w:left="1701" w:right="1762" w:firstLine="0"/>
        <w:jc w:val="left"/>
        <w:rPr>
          <w:sz w:val="20"/>
        </w:rPr>
      </w:pPr>
      <w:r>
        <w:rPr>
          <w:sz w:val="20"/>
        </w:rPr>
        <w:t>The </w:t>
      </w:r>
      <w:r>
        <w:rPr>
          <w:i/>
          <w:sz w:val="20"/>
        </w:rPr>
        <w:t>Customs (Prohibited Exports) Regulations 1958 </w:t>
      </w:r>
      <w:r>
        <w:rPr>
          <w:sz w:val="20"/>
        </w:rPr>
        <w:t>have been amended to clarify the nuclear source materials that are subject to export controls under Schedule 7 and to provide consistency between the </w:t>
      </w:r>
      <w:r>
        <w:rPr>
          <w:i/>
          <w:sz w:val="20"/>
        </w:rPr>
        <w:t>Customs (Prohibited Exports) Regulations 1958 </w:t>
      </w:r>
      <w:r>
        <w:rPr>
          <w:sz w:val="20"/>
        </w:rPr>
        <w:t>and the </w:t>
      </w:r>
      <w:r>
        <w:rPr>
          <w:i/>
          <w:sz w:val="20"/>
        </w:rPr>
        <w:t>Nuclear Non- Proliferation (Safeguards) Act 1987</w:t>
      </w:r>
      <w:r>
        <w:rPr>
          <w:sz w:val="20"/>
        </w:rPr>
        <w:t>. The amendments commended on 29</w:t>
      </w:r>
      <w:r>
        <w:rPr>
          <w:sz w:val="20"/>
          <w:vertAlign w:val="superscript"/>
        </w:rPr>
        <w:t>th</w:t>
      </w:r>
      <w:r>
        <w:rPr>
          <w:sz w:val="20"/>
          <w:vertAlign w:val="baseline"/>
        </w:rPr>
        <w:t> September 2007.</w:t>
      </w:r>
    </w:p>
    <w:p>
      <w:pPr>
        <w:pStyle w:val="BodyText"/>
        <w:spacing w:before="230"/>
        <w:ind w:left="1701" w:right="1765"/>
      </w:pPr>
      <w:r>
        <w:rPr/>
        <w:t>The term source materials refers to any material from which special fissionable material may be produced. Item 1 of Schedule 7 specifies the source materials that are subject to export controls and exemptions to those</w:t>
      </w:r>
      <w:r>
        <w:rPr>
          <w:spacing w:val="-7"/>
        </w:rPr>
        <w:t> </w:t>
      </w:r>
      <w:r>
        <w:rPr/>
        <w:t>controls.</w:t>
      </w:r>
    </w:p>
    <w:p>
      <w:pPr>
        <w:pStyle w:val="BodyText"/>
        <w:spacing w:before="11"/>
        <w:rPr>
          <w:sz w:val="19"/>
        </w:rPr>
      </w:pPr>
    </w:p>
    <w:p>
      <w:pPr>
        <w:pStyle w:val="BodyText"/>
        <w:ind w:left="1701" w:right="1863"/>
      </w:pPr>
      <w:r>
        <w:rPr/>
        <w:t>The amendments add tantalum concentrates and tantalum glass to Item 1. The amendments also provide an exemption for any ore or concentrate containing less than 0.05% by weight of the identified types of uranium or thorium source materials unless the ore or concentrate is listed by the Minister for Industry, Tourism and Resources to be excluded from this exemption.</w:t>
      </w:r>
    </w:p>
    <w:p>
      <w:pPr>
        <w:pStyle w:val="BodyText"/>
        <w:spacing w:before="1"/>
      </w:pPr>
    </w:p>
    <w:p>
      <w:pPr>
        <w:pStyle w:val="BodyText"/>
        <w:ind w:left="1701" w:right="1870"/>
      </w:pPr>
      <w:r>
        <w:rPr/>
        <w:t>Inquiries concerning this notice may be directed to Manager Counter Proliferation on telephone number (02) 6275 6189 or fax number (02) 6275</w:t>
      </w:r>
      <w:r>
        <w:rPr>
          <w:spacing w:val="-8"/>
        </w:rPr>
        <w:t> </w:t>
      </w:r>
      <w:r>
        <w:rPr/>
        <w:t>6699.</w:t>
      </w:r>
    </w:p>
    <w:p>
      <w:pPr>
        <w:pStyle w:val="BodyText"/>
        <w:rPr>
          <w:sz w:val="22"/>
        </w:rPr>
      </w:pPr>
    </w:p>
    <w:p>
      <w:pPr>
        <w:pStyle w:val="BodyText"/>
        <w:rPr>
          <w:sz w:val="22"/>
        </w:rPr>
      </w:pPr>
    </w:p>
    <w:p>
      <w:pPr>
        <w:pStyle w:val="BodyText"/>
        <w:rPr>
          <w:sz w:val="22"/>
        </w:rPr>
      </w:pPr>
    </w:p>
    <w:p>
      <w:pPr>
        <w:pStyle w:val="BodyText"/>
        <w:spacing w:line="230" w:lineRule="exact" w:before="161"/>
        <w:ind w:left="1701"/>
      </w:pPr>
      <w:r>
        <w:rPr/>
        <w:t>John Potter</w:t>
      </w:r>
    </w:p>
    <w:p>
      <w:pPr>
        <w:pStyle w:val="BodyText"/>
        <w:spacing w:line="230" w:lineRule="exact"/>
        <w:ind w:left="1701"/>
      </w:pPr>
      <w:r>
        <w:rPr/>
        <w:t>A/g National Manager</w:t>
      </w:r>
    </w:p>
    <w:p>
      <w:pPr>
        <w:pStyle w:val="BodyText"/>
        <w:spacing w:before="1"/>
        <w:ind w:left="1701" w:right="6140"/>
      </w:pPr>
      <w:r>
        <w:rPr/>
        <w:t>Trade Policy &amp; Regulation </w:t>
      </w:r>
      <w:r>
        <w:rPr>
          <w:spacing w:val="-4"/>
        </w:rPr>
        <w:t>Branch </w:t>
      </w:r>
      <w:r>
        <w:rPr/>
        <w:t>CANBERRA</w:t>
      </w:r>
      <w:r>
        <w:rPr>
          <w:spacing w:val="54"/>
        </w:rPr>
        <w:t> </w:t>
      </w:r>
      <w:r>
        <w:rPr/>
        <w:t>ACT</w:t>
      </w:r>
    </w:p>
    <w:p>
      <w:pPr>
        <w:pStyle w:val="BodyText"/>
        <w:spacing w:before="119"/>
        <w:ind w:left="1867"/>
      </w:pPr>
      <w:r>
        <w:rPr/>
        <w:t>October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r>
        <w:rPr/>
        <w:drawing>
          <wp:anchor distT="0" distB="0" distL="0" distR="0" allowOverlap="1" layoutInCell="1" locked="0" behindDoc="0" simplePos="0" relativeHeight="1">
            <wp:simplePos x="0" y="0"/>
            <wp:positionH relativeFrom="page">
              <wp:posOffset>5528310</wp:posOffset>
            </wp:positionH>
            <wp:positionV relativeFrom="paragraph">
              <wp:posOffset>168240</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1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Amendment to the Customs (Prohibited Exports) Regulations 1958 Regulation 9 and Schedule 7 – Exportation of Nuclear Material</dc:subject>
  <dc:title>AUSTRALIAN CUSTOMS NOTICE NO. 2007/55</dc:title>
  <dcterms:created xsi:type="dcterms:W3CDTF">2020-12-09T23:17:23Z</dcterms:created>
  <dcterms:modified xsi:type="dcterms:W3CDTF">2020-12-09T23:17:23Z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2007-11-09T00:00:00Z</vt:filetime>
  </property>
  <property fmtid="{D5CDD505-2E9C-101B-9397-08002B2CF9AE}" pid="3" name="Creator">
    <vt:lpwstr>Acrobat PDFMaker 8.0 for Word</vt:lpwstr>
  </property>
  <property fmtid="{D5CDD505-2E9C-101B-9397-08002B2CF9AE}" pid="4" name="LastSaved">
    <vt:filetime>2020-12-09T00:00:00Z</vt:filetime>
  </property>
</Properties>
</file>