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5"/>
        <w:rPr>
          <w:rFonts w:ascii="Times New Roman"/>
          <w:sz w:val="22"/>
        </w:rPr>
      </w:pPr>
    </w:p>
    <w:p>
      <w:pPr>
        <w:pStyle w:val="Title"/>
      </w:pPr>
      <w:r>
        <w:rPr/>
        <w:pict>
          <v:shape style="position:absolute;margin-left:28.199997pt;margin-top:26.685116pt;width:549pt;height:.1pt;mso-position-horizontal-relative:page;mso-position-vertical-relative:paragraph;z-index:-15728640;mso-wrap-distance-left:0;mso-wrap-distance-right:0" coordorigin="564,534" coordsize="10980,0" path="m564,534l11544,534e" filled="false" stroked="true" strokeweight=".75pt" strokecolor="#000000">
            <v:path arrowok="t"/>
            <v:stroke dashstyle="solid"/>
            <w10:wrap type="topAndBottom"/>
          </v:shape>
        </w:pict>
      </w:r>
      <w:r>
        <w:rPr/>
        <w:drawing>
          <wp:anchor distT="0" distB="0" distL="0" distR="0" allowOverlap="1" layoutInCell="1" locked="0" behindDoc="0" simplePos="0" relativeHeight="15729664">
            <wp:simplePos x="0" y="0"/>
            <wp:positionH relativeFrom="page">
              <wp:posOffset>0</wp:posOffset>
            </wp:positionH>
            <wp:positionV relativeFrom="paragraph">
              <wp:posOffset>-1179765</wp:posOffset>
            </wp:positionV>
            <wp:extent cx="7556754" cy="927349"/>
            <wp:effectExtent l="0" t="0" r="0" b="0"/>
            <wp:wrapNone/>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556754" cy="927349"/>
                    </a:xfrm>
                    <a:prstGeom prst="rect">
                      <a:avLst/>
                    </a:prstGeom>
                  </pic:spPr>
                </pic:pic>
              </a:graphicData>
            </a:graphic>
          </wp:anchor>
        </w:drawing>
      </w:r>
      <w:bookmarkStart w:name="AUSTRALIAN CUSTOMS NOTICE NO. 2008/07" w:id="1"/>
      <w:bookmarkEnd w:id="1"/>
      <w:r>
        <w:rPr>
          <w:b w:val="0"/>
        </w:rPr>
      </w:r>
      <w:r>
        <w:rPr/>
        <w:t>AUSTRALIAN CUSTOMS NOTICE NO. 2008/07</w:t>
      </w:r>
    </w:p>
    <w:p>
      <w:pPr>
        <w:pStyle w:val="BodyText"/>
        <w:rPr>
          <w:b/>
        </w:rPr>
      </w:pPr>
    </w:p>
    <w:p>
      <w:pPr>
        <w:spacing w:before="210"/>
        <w:ind w:left="2488" w:right="0" w:firstLine="0"/>
        <w:jc w:val="left"/>
        <w:rPr>
          <w:b/>
          <w:sz w:val="24"/>
        </w:rPr>
      </w:pPr>
      <w:r>
        <w:rPr>
          <w:b/>
          <w:sz w:val="24"/>
        </w:rPr>
        <w:t>Control permit for non-commercial foreign craft in Australia</w:t>
      </w:r>
    </w:p>
    <w:p>
      <w:pPr>
        <w:pStyle w:val="BodyText"/>
        <w:spacing w:before="228"/>
        <w:ind w:left="1644" w:right="1764"/>
        <w:jc w:val="both"/>
      </w:pPr>
      <w:r>
        <w:rPr/>
        <w:t>Customs will be trialling a new permit system for non-commercial foreign craft in Australia. Control Permits will replace Cruising Permits that were previously granted to eligible smallcraft.</w:t>
      </w:r>
    </w:p>
    <w:p>
      <w:pPr>
        <w:pStyle w:val="BodyText"/>
      </w:pPr>
    </w:p>
    <w:p>
      <w:pPr>
        <w:pStyle w:val="BodyText"/>
        <w:ind w:left="1644" w:right="1766"/>
        <w:jc w:val="both"/>
      </w:pPr>
      <w:r>
        <w:rPr/>
        <w:t>Control permits are granted to eligible applicants where Customs is satisfied that the craft is transiting Australia for specified non-commercial purposes such as:</w:t>
      </w:r>
    </w:p>
    <w:p>
      <w:pPr>
        <w:pStyle w:val="BodyText"/>
        <w:spacing w:before="2"/>
        <w:rPr>
          <w:sz w:val="21"/>
        </w:rPr>
      </w:pPr>
    </w:p>
    <w:p>
      <w:pPr>
        <w:pStyle w:val="ListParagraph"/>
        <w:numPr>
          <w:ilvl w:val="0"/>
          <w:numId w:val="1"/>
        </w:numPr>
        <w:tabs>
          <w:tab w:pos="2363" w:val="left" w:leader="none"/>
          <w:tab w:pos="2364" w:val="left" w:leader="none"/>
        </w:tabs>
        <w:spacing w:line="240" w:lineRule="auto" w:before="0" w:after="0"/>
        <w:ind w:left="2363" w:right="0" w:hanging="361"/>
        <w:jc w:val="left"/>
        <w:rPr>
          <w:sz w:val="20"/>
        </w:rPr>
      </w:pPr>
      <w:r>
        <w:rPr>
          <w:sz w:val="20"/>
        </w:rPr>
        <w:t>cruising/touring</w:t>
      </w:r>
      <w:r>
        <w:rPr>
          <w:spacing w:val="-2"/>
          <w:sz w:val="20"/>
        </w:rPr>
        <w:t> </w:t>
      </w:r>
      <w:r>
        <w:rPr>
          <w:sz w:val="20"/>
        </w:rPr>
        <w:t>purposes</w:t>
      </w:r>
    </w:p>
    <w:p>
      <w:pPr>
        <w:pStyle w:val="ListParagraph"/>
        <w:numPr>
          <w:ilvl w:val="0"/>
          <w:numId w:val="1"/>
        </w:numPr>
        <w:tabs>
          <w:tab w:pos="2363" w:val="left" w:leader="none"/>
          <w:tab w:pos="2364" w:val="left" w:leader="none"/>
        </w:tabs>
        <w:spacing w:line="240" w:lineRule="auto" w:before="14" w:after="0"/>
        <w:ind w:left="2363" w:right="0" w:hanging="361"/>
        <w:jc w:val="left"/>
        <w:rPr>
          <w:sz w:val="20"/>
        </w:rPr>
      </w:pPr>
      <w:r>
        <w:rPr>
          <w:sz w:val="20"/>
        </w:rPr>
        <w:t>mooring</w:t>
      </w:r>
      <w:r>
        <w:rPr>
          <w:spacing w:val="-2"/>
          <w:sz w:val="20"/>
        </w:rPr>
        <w:t> </w:t>
      </w:r>
      <w:r>
        <w:rPr>
          <w:sz w:val="20"/>
        </w:rPr>
        <w:t>purposes</w:t>
      </w:r>
    </w:p>
    <w:p>
      <w:pPr>
        <w:pStyle w:val="ListParagraph"/>
        <w:numPr>
          <w:ilvl w:val="0"/>
          <w:numId w:val="1"/>
        </w:numPr>
        <w:tabs>
          <w:tab w:pos="2363" w:val="left" w:leader="none"/>
          <w:tab w:pos="2364" w:val="left" w:leader="none"/>
        </w:tabs>
        <w:spacing w:line="240" w:lineRule="auto" w:before="14" w:after="0"/>
        <w:ind w:left="2363" w:right="0" w:hanging="361"/>
        <w:jc w:val="left"/>
        <w:rPr>
          <w:sz w:val="20"/>
        </w:rPr>
      </w:pPr>
      <w:r>
        <w:rPr>
          <w:sz w:val="20"/>
        </w:rPr>
        <w:t>recreational</w:t>
      </w:r>
      <w:r>
        <w:rPr>
          <w:spacing w:val="-1"/>
          <w:sz w:val="20"/>
        </w:rPr>
        <w:t> </w:t>
      </w:r>
      <w:r>
        <w:rPr>
          <w:sz w:val="20"/>
        </w:rPr>
        <w:t>use</w:t>
      </w:r>
    </w:p>
    <w:p>
      <w:pPr>
        <w:pStyle w:val="ListParagraph"/>
        <w:numPr>
          <w:ilvl w:val="0"/>
          <w:numId w:val="1"/>
        </w:numPr>
        <w:tabs>
          <w:tab w:pos="2363" w:val="left" w:leader="none"/>
          <w:tab w:pos="2364" w:val="left" w:leader="none"/>
        </w:tabs>
        <w:spacing w:line="240" w:lineRule="auto" w:before="13" w:after="0"/>
        <w:ind w:left="2363" w:right="0" w:hanging="361"/>
        <w:jc w:val="left"/>
        <w:rPr>
          <w:sz w:val="20"/>
        </w:rPr>
      </w:pPr>
      <w:r>
        <w:rPr>
          <w:sz w:val="20"/>
        </w:rPr>
        <w:t>repair/refit</w:t>
      </w:r>
    </w:p>
    <w:p>
      <w:pPr>
        <w:pStyle w:val="ListParagraph"/>
        <w:numPr>
          <w:ilvl w:val="0"/>
          <w:numId w:val="1"/>
        </w:numPr>
        <w:tabs>
          <w:tab w:pos="2363" w:val="left" w:leader="none"/>
          <w:tab w:pos="2364" w:val="left" w:leader="none"/>
        </w:tabs>
        <w:spacing w:line="240" w:lineRule="auto" w:before="14" w:after="0"/>
        <w:ind w:left="2363" w:right="0" w:hanging="361"/>
        <w:jc w:val="left"/>
        <w:rPr>
          <w:sz w:val="20"/>
        </w:rPr>
      </w:pPr>
      <w:r>
        <w:rPr>
          <w:sz w:val="20"/>
        </w:rPr>
        <w:t>specified racing</w:t>
      </w:r>
      <w:r>
        <w:rPr>
          <w:spacing w:val="-2"/>
          <w:sz w:val="20"/>
        </w:rPr>
        <w:t> </w:t>
      </w:r>
      <w:r>
        <w:rPr>
          <w:sz w:val="20"/>
        </w:rPr>
        <w:t>events</w:t>
      </w:r>
    </w:p>
    <w:p>
      <w:pPr>
        <w:pStyle w:val="BodyText"/>
      </w:pPr>
    </w:p>
    <w:p>
      <w:pPr>
        <w:pStyle w:val="BodyText"/>
        <w:ind w:left="1644" w:right="1763"/>
        <w:jc w:val="both"/>
      </w:pPr>
      <w:r>
        <w:rPr/>
        <w:t>Persons eligible to apply for a control permit must hold a valid passport and visa and must be a tourist or temporary resident. In certain circumstances non-resident Australians, who can demonstrate overseas residency, may be eligible for a control permit.</w:t>
      </w:r>
    </w:p>
    <w:p>
      <w:pPr>
        <w:pStyle w:val="BodyText"/>
      </w:pPr>
    </w:p>
    <w:p>
      <w:pPr>
        <w:pStyle w:val="BodyText"/>
        <w:ind w:left="1644" w:right="1765"/>
        <w:jc w:val="both"/>
      </w:pPr>
      <w:r>
        <w:rPr/>
        <w:t>Where a craft is owned by a corporation and more than 50% of the owners of the corporation are Australian residents, a control permit will not be</w:t>
      </w:r>
      <w:r>
        <w:rPr>
          <w:spacing w:val="-10"/>
        </w:rPr>
        <w:t> </w:t>
      </w:r>
      <w:r>
        <w:rPr/>
        <w:t>granted.</w:t>
      </w:r>
    </w:p>
    <w:p>
      <w:pPr>
        <w:pStyle w:val="BodyText"/>
        <w:spacing w:before="1"/>
      </w:pPr>
    </w:p>
    <w:p>
      <w:pPr>
        <w:pStyle w:val="BodyText"/>
        <w:ind w:left="1644" w:right="1764"/>
        <w:jc w:val="both"/>
      </w:pPr>
      <w:r>
        <w:rPr/>
        <w:t>Control Permits can be issued for specified period, for example, three months however the maximum length a permit will be granted will not exceed twelve (12) months. At the expiration  of the control permit the holder may apply for an extension. Providing the applicant still meets eligibility requirements an extension may be granted however extensions will only be granted  for a maximum of three years within a four-year period. The four-year period commences from the date of arrival of the smallcraft in</w:t>
      </w:r>
      <w:r>
        <w:rPr>
          <w:spacing w:val="-11"/>
        </w:rPr>
        <w:t> </w:t>
      </w:r>
      <w:r>
        <w:rPr/>
        <w:t>Australia.</w:t>
      </w:r>
    </w:p>
    <w:p>
      <w:pPr>
        <w:pStyle w:val="BodyText"/>
        <w:spacing w:before="11"/>
        <w:rPr>
          <w:sz w:val="19"/>
        </w:rPr>
      </w:pPr>
    </w:p>
    <w:p>
      <w:pPr>
        <w:pStyle w:val="BodyText"/>
        <w:ind w:left="1644" w:right="1766"/>
        <w:jc w:val="both"/>
      </w:pPr>
      <w:r>
        <w:rPr/>
        <w:t>When a control permit expires and an extension has not been sought, the craft must either depart Australia or be formally imported and an import declaration lodged. If the craft is imported duty and tax will be</w:t>
      </w:r>
      <w:r>
        <w:rPr>
          <w:spacing w:val="-8"/>
        </w:rPr>
        <w:t> </w:t>
      </w:r>
      <w:r>
        <w:rPr/>
        <w:t>payable.</w:t>
      </w:r>
    </w:p>
    <w:p>
      <w:pPr>
        <w:pStyle w:val="BodyText"/>
        <w:spacing w:before="1"/>
      </w:pPr>
    </w:p>
    <w:p>
      <w:pPr>
        <w:pStyle w:val="BodyText"/>
        <w:ind w:left="1644" w:right="1765"/>
        <w:jc w:val="both"/>
      </w:pPr>
      <w:r>
        <w:rPr/>
        <w:t>There are a number of conditions attached to the granting of a control permit and if a permit holder is found to be in breach of any of the conditions, for example, action has been taken to sell the craft, Customs may take further action such as revoke the permit and require the craft to be formally imported. In some circumstances a security may be requested.</w:t>
      </w:r>
    </w:p>
    <w:p>
      <w:pPr>
        <w:pStyle w:val="BodyText"/>
        <w:spacing w:before="11"/>
        <w:rPr>
          <w:sz w:val="19"/>
        </w:rPr>
      </w:pPr>
    </w:p>
    <w:p>
      <w:pPr>
        <w:pStyle w:val="BodyText"/>
        <w:ind w:left="1644"/>
        <w:jc w:val="both"/>
      </w:pPr>
      <w:r>
        <w:rPr/>
        <w:t>The trial will be conducted over a twelve-month period and will commence on 1 March 2008.</w:t>
      </w:r>
    </w:p>
    <w:p>
      <w:pPr>
        <w:pStyle w:val="BodyText"/>
      </w:pPr>
    </w:p>
    <w:p>
      <w:pPr>
        <w:pStyle w:val="BodyText"/>
        <w:ind w:left="1644" w:right="1765"/>
        <w:jc w:val="both"/>
      </w:pPr>
      <w:r>
        <w:rPr/>
        <w:t>Inquiries concerning this notice may be directed to Cargo Reporting Policy (Sea) on telephone number (02) 6275 8068 or fax number (02) 6275 5745.</w:t>
      </w:r>
    </w:p>
    <w:p>
      <w:pPr>
        <w:pStyle w:val="BodyText"/>
        <w:rPr>
          <w:sz w:val="22"/>
        </w:rPr>
      </w:pPr>
    </w:p>
    <w:p>
      <w:pPr>
        <w:pStyle w:val="BodyText"/>
        <w:rPr>
          <w:sz w:val="22"/>
        </w:rPr>
      </w:pPr>
    </w:p>
    <w:p>
      <w:pPr>
        <w:pStyle w:val="BodyText"/>
        <w:rPr>
          <w:sz w:val="22"/>
        </w:rPr>
      </w:pPr>
    </w:p>
    <w:p>
      <w:pPr>
        <w:pStyle w:val="BodyText"/>
        <w:spacing w:before="161"/>
        <w:ind w:left="1644" w:right="8679"/>
      </w:pPr>
      <w:r>
        <w:rPr/>
        <w:t>Jaclyne Fisher National Director Cargo Branch CANBERRA ACT</w:t>
      </w:r>
    </w:p>
    <w:p>
      <w:pPr>
        <w:pStyle w:val="BodyText"/>
        <w:spacing w:before="1"/>
        <w:ind w:left="1809"/>
      </w:pPr>
      <w:r>
        <w:rPr/>
        <w:t>January 2008</w:t>
      </w:r>
    </w:p>
    <w:p>
      <w:pPr>
        <w:pStyle w:val="BodyText"/>
      </w:pPr>
    </w:p>
    <w:p>
      <w:pPr>
        <w:pStyle w:val="BodyText"/>
      </w:pPr>
    </w:p>
    <w:p>
      <w:pPr>
        <w:pStyle w:val="BodyText"/>
        <w:spacing w:before="1"/>
        <w:rPr>
          <w:sz w:val="25"/>
        </w:rPr>
      </w:pPr>
      <w:r>
        <w:rPr/>
        <w:drawing>
          <wp:anchor distT="0" distB="0" distL="0" distR="0" allowOverlap="1" layoutInCell="1" locked="0" behindDoc="0" simplePos="0" relativeHeight="1">
            <wp:simplePos x="0" y="0"/>
            <wp:positionH relativeFrom="page">
              <wp:posOffset>5520689</wp:posOffset>
            </wp:positionH>
            <wp:positionV relativeFrom="paragraph">
              <wp:posOffset>208219</wp:posOffset>
            </wp:positionV>
            <wp:extent cx="1605140" cy="116204"/>
            <wp:effectExtent l="0" t="0" r="0" b="0"/>
            <wp:wrapTopAndBottom/>
            <wp:docPr id="3" name="image2.png"/>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1605140" cy="116204"/>
                    </a:xfrm>
                    <a:prstGeom prst="rect">
                      <a:avLst/>
                    </a:prstGeom>
                  </pic:spPr>
                </pic:pic>
              </a:graphicData>
            </a:graphic>
          </wp:anchor>
        </w:drawing>
      </w:r>
    </w:p>
    <w:sectPr>
      <w:type w:val="continuous"/>
      <w:pgSz w:w="11910" w:h="16840"/>
      <w:pgMar w:top="86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2363" w:hanging="361"/>
      </w:pPr>
      <w:rPr>
        <w:rFonts w:hint="default" w:ascii="Arial" w:hAnsi="Arial" w:eastAsia="Arial" w:cs="Arial"/>
        <w:w w:val="131"/>
        <w:sz w:val="20"/>
        <w:szCs w:val="20"/>
      </w:rPr>
    </w:lvl>
    <w:lvl w:ilvl="1">
      <w:start w:val="0"/>
      <w:numFmt w:val="bullet"/>
      <w:lvlText w:val="•"/>
      <w:lvlJc w:val="left"/>
      <w:pPr>
        <w:ind w:left="3314" w:hanging="361"/>
      </w:pPr>
      <w:rPr>
        <w:rFonts w:hint="default"/>
      </w:rPr>
    </w:lvl>
    <w:lvl w:ilvl="2">
      <w:start w:val="0"/>
      <w:numFmt w:val="bullet"/>
      <w:lvlText w:val="•"/>
      <w:lvlJc w:val="left"/>
      <w:pPr>
        <w:ind w:left="4268" w:hanging="361"/>
      </w:pPr>
      <w:rPr>
        <w:rFonts w:hint="default"/>
      </w:rPr>
    </w:lvl>
    <w:lvl w:ilvl="3">
      <w:start w:val="0"/>
      <w:numFmt w:val="bullet"/>
      <w:lvlText w:val="•"/>
      <w:lvlJc w:val="left"/>
      <w:pPr>
        <w:ind w:left="5223" w:hanging="361"/>
      </w:pPr>
      <w:rPr>
        <w:rFonts w:hint="default"/>
      </w:rPr>
    </w:lvl>
    <w:lvl w:ilvl="4">
      <w:start w:val="0"/>
      <w:numFmt w:val="bullet"/>
      <w:lvlText w:val="•"/>
      <w:lvlJc w:val="left"/>
      <w:pPr>
        <w:ind w:left="6177" w:hanging="361"/>
      </w:pPr>
      <w:rPr>
        <w:rFonts w:hint="default"/>
      </w:rPr>
    </w:lvl>
    <w:lvl w:ilvl="5">
      <w:start w:val="0"/>
      <w:numFmt w:val="bullet"/>
      <w:lvlText w:val="•"/>
      <w:lvlJc w:val="left"/>
      <w:pPr>
        <w:ind w:left="7132" w:hanging="361"/>
      </w:pPr>
      <w:rPr>
        <w:rFonts w:hint="default"/>
      </w:rPr>
    </w:lvl>
    <w:lvl w:ilvl="6">
      <w:start w:val="0"/>
      <w:numFmt w:val="bullet"/>
      <w:lvlText w:val="•"/>
      <w:lvlJc w:val="left"/>
      <w:pPr>
        <w:ind w:left="8086" w:hanging="361"/>
      </w:pPr>
      <w:rPr>
        <w:rFonts w:hint="default"/>
      </w:rPr>
    </w:lvl>
    <w:lvl w:ilvl="7">
      <w:start w:val="0"/>
      <w:numFmt w:val="bullet"/>
      <w:lvlText w:val="•"/>
      <w:lvlJc w:val="left"/>
      <w:pPr>
        <w:ind w:left="9041" w:hanging="361"/>
      </w:pPr>
      <w:rPr>
        <w:rFonts w:hint="default"/>
      </w:rPr>
    </w:lvl>
    <w:lvl w:ilvl="8">
      <w:start w:val="0"/>
      <w:numFmt w:val="bullet"/>
      <w:lvlText w:val="•"/>
      <w:lvlJc w:val="left"/>
      <w:pPr>
        <w:ind w:left="9995" w:hanging="361"/>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Title" w:type="paragraph">
    <w:name w:val="Title"/>
    <w:basedOn w:val="Normal"/>
    <w:uiPriority w:val="1"/>
    <w:qFormat/>
    <w:pPr>
      <w:spacing w:before="91"/>
      <w:ind w:left="2887" w:right="2884"/>
      <w:jc w:val="center"/>
    </w:pPr>
    <w:rPr>
      <w:rFonts w:ascii="Arial" w:hAnsi="Arial" w:eastAsia="Arial" w:cs="Arial"/>
      <w:b/>
      <w:bCs/>
      <w:sz w:val="28"/>
      <w:szCs w:val="28"/>
    </w:rPr>
  </w:style>
  <w:style w:styleId="ListParagraph" w:type="paragraph">
    <w:name w:val="List Paragraph"/>
    <w:basedOn w:val="Normal"/>
    <w:uiPriority w:val="1"/>
    <w:qFormat/>
    <w:pPr>
      <w:spacing w:before="14"/>
      <w:ind w:left="2363" w:hanging="361"/>
    </w:pPr>
    <w:rPr>
      <w:rFonts w:ascii="Arial" w:hAnsi="Arial" w:eastAsia="Arial" w:cs="Arial"/>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Control permit for non-commercial foreign craft in Australia</dc:subject>
  <dc:title>AUSTRALIAN CUSTOMS NOTICE NO. 2008/07</dc:title>
  <dcterms:created xsi:type="dcterms:W3CDTF">2020-12-09T23:22:45Z</dcterms:created>
  <dcterms:modified xsi:type="dcterms:W3CDTF">2020-12-09T23:22:45Z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2008-02-22T00:00:00Z</vt:filetime>
  </property>
  <property fmtid="{D5CDD505-2E9C-101B-9397-08002B2CF9AE}" pid="3" name="Creator">
    <vt:lpwstr>Acrobat PDFMaker 8.0 for Word</vt:lpwstr>
  </property>
  <property fmtid="{D5CDD505-2E9C-101B-9397-08002B2CF9AE}" pid="4" name="LastSaved">
    <vt:filetime>2020-12-09T00:00:00Z</vt:filetime>
  </property>
</Properties>
</file>