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after="1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-1161917</wp:posOffset>
            </wp:positionV>
            <wp:extent cx="7556754" cy="92734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27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8/34" w:id="1"/>
      <w:bookmarkEnd w:id="1"/>
      <w:r>
        <w:rPr>
          <w:b w:val="0"/>
        </w:rPr>
      </w:r>
      <w:r>
        <w:rPr/>
        <w:t>AUSTRALIAN CUSTOMS NOTICE NO. 2008/34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spacing w:before="233"/>
        <w:ind w:right="2153"/>
      </w:pPr>
      <w:bookmarkStart w:name="Change of Tariff Classification Practice" w:id="2"/>
      <w:bookmarkEnd w:id="2"/>
      <w:r>
        <w:rPr>
          <w:b w:val="0"/>
        </w:rPr>
      </w:r>
      <w:r>
        <w:rPr/>
        <w:t>Change of Tariff Classification Practice and ACN 2008/18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701" w:right="1689"/>
      </w:pPr>
      <w:r>
        <w:rPr/>
        <w:t>This ACN clarifies the provisions that apply when an advised change of administrative practice occurs in regard to the classification of particular goods.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701" w:right="1689"/>
      </w:pPr>
      <w:r>
        <w:rPr/>
        <w:t>Where such a change of practice occurs, Customs will not apply the new practice retrospectively.</w:t>
      </w:r>
    </w:p>
    <w:p>
      <w:pPr>
        <w:pStyle w:val="BodyText"/>
        <w:spacing w:before="1"/>
      </w:pPr>
    </w:p>
    <w:p>
      <w:pPr>
        <w:pStyle w:val="BodyText"/>
        <w:ind w:left="1701" w:right="1689"/>
      </w:pPr>
      <w:r>
        <w:rPr/>
        <w:t>Where the change results in a </w:t>
      </w:r>
      <w:r>
        <w:rPr>
          <w:i/>
        </w:rPr>
        <w:t>higher </w:t>
      </w:r>
      <w:r>
        <w:rPr/>
        <w:t>rate of duty applying to particular goods, Customs will not seek to recover further duties for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19" w:after="0"/>
        <w:ind w:left="2421" w:right="0" w:hanging="361"/>
        <w:jc w:val="left"/>
        <w:rPr>
          <w:sz w:val="22"/>
        </w:rPr>
      </w:pPr>
      <w:r>
        <w:rPr>
          <w:sz w:val="22"/>
        </w:rPr>
        <w:t>goods imported prior to advice of the change of practice;</w:t>
      </w:r>
      <w:r>
        <w:rPr>
          <w:spacing w:val="-4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20" w:after="0"/>
        <w:ind w:left="2421" w:right="0" w:hanging="361"/>
        <w:jc w:val="left"/>
        <w:rPr>
          <w:sz w:val="22"/>
        </w:rPr>
      </w:pPr>
      <w:r>
        <w:rPr>
          <w:sz w:val="22"/>
        </w:rPr>
        <w:t>on goods in transit at the time of the advised</w:t>
      </w:r>
      <w:r>
        <w:rPr>
          <w:spacing w:val="-4"/>
          <w:sz w:val="22"/>
        </w:rPr>
        <w:t> </w:t>
      </w:r>
      <w:r>
        <w:rPr>
          <w:sz w:val="22"/>
        </w:rPr>
        <w:t>change</w:t>
      </w:r>
    </w:p>
    <w:p>
      <w:pPr>
        <w:pStyle w:val="BodyText"/>
        <w:spacing w:before="121"/>
        <w:ind w:left="1701" w:right="1689"/>
      </w:pPr>
      <w:r>
        <w:rPr/>
        <w:t>provided that such goods were entered in accordance with the advised practice applicable prior to the change.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701" w:right="1696"/>
        <w:jc w:val="both"/>
      </w:pPr>
      <w:r>
        <w:rPr/>
        <w:t>Where the change of practice results in a </w:t>
      </w:r>
      <w:r>
        <w:rPr>
          <w:i/>
        </w:rPr>
        <w:t>lower </w:t>
      </w:r>
      <w:r>
        <w:rPr/>
        <w:t>rate of duty applying to particular goods, section 166 of the </w:t>
      </w:r>
      <w:r>
        <w:rPr>
          <w:i/>
        </w:rPr>
        <w:t>Customs Act 1901 </w:t>
      </w:r>
      <w:r>
        <w:rPr/>
        <w:t>applies. Accordingly, there will be no entitlement (as a result of the change to practice) to refunds of any duty paid before the alteration of the</w:t>
      </w:r>
      <w:r>
        <w:rPr>
          <w:spacing w:val="-2"/>
        </w:rPr>
        <w:t> </w:t>
      </w:r>
      <w:r>
        <w:rPr/>
        <w:t>practice.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701" w:right="1695"/>
        <w:jc w:val="both"/>
      </w:pPr>
      <w:r>
        <w:rPr/>
        <w:t>ACN 2008/18 provided guidance on a change of administrative practice </w:t>
      </w:r>
      <w:r>
        <w:rPr>
          <w:color w:val="000080"/>
        </w:rPr>
        <w:t>i</w:t>
      </w:r>
      <w:r>
        <w:rPr/>
        <w:t>n regard to the tariff classification treatment of various packing materials and  packing  containers. ACN 2008/18 was signed on 26 May 2008 and has a date of effect of Friday 6 June 2008.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701" w:right="1689"/>
      </w:pPr>
      <w:r>
        <w:rPr/>
        <w:t>Inquiries concerning this notice may be directed to the Manager Tariff Review on telephone number (02) 6275 6434 or by email to </w:t>
      </w:r>
      <w:hyperlink r:id="rId6">
        <w:r>
          <w:rPr/>
          <w:t>tarrev2@bigpond.com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9"/>
        <w:ind w:left="1701" w:right="7951"/>
      </w:pPr>
      <w:r>
        <w:rPr/>
        <w:t>Jennifer Reimitz National Manager Trade Services Branch CANBERRA</w:t>
      </w:r>
      <w:r>
        <w:rPr>
          <w:spacing w:val="60"/>
        </w:rPr>
        <w:t> </w:t>
      </w:r>
      <w:r>
        <w:rPr/>
        <w:t>ACT</w:t>
      </w:r>
    </w:p>
    <w:p>
      <w:pPr>
        <w:pStyle w:val="BodyText"/>
        <w:spacing w:before="119"/>
        <w:ind w:left="1701"/>
        <w:jc w:val="both"/>
      </w:pPr>
      <w:r>
        <w:rPr/>
        <w:t>9 July 2008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219510</wp:posOffset>
            </wp:positionV>
            <wp:extent cx="1605140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0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21" w:hanging="360"/>
      </w:pPr>
      <w:rPr>
        <w:rFonts w:hint="default" w:ascii="Arial" w:hAnsi="Arial" w:eastAsia="Arial" w:cs="Arial"/>
        <w:w w:val="131"/>
        <w:sz w:val="20"/>
        <w:szCs w:val="20"/>
      </w:rPr>
    </w:lvl>
    <w:lvl w:ilvl="1">
      <w:start w:val="0"/>
      <w:numFmt w:val="bullet"/>
      <w:lvlText w:val="•"/>
      <w:lvlJc w:val="left"/>
      <w:pPr>
        <w:ind w:left="33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6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1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5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0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Title" w:type="paragraph">
    <w:name w:val="Title"/>
    <w:basedOn w:val="Normal"/>
    <w:uiPriority w:val="1"/>
    <w:qFormat/>
    <w:pPr>
      <w:spacing w:before="232"/>
      <w:ind w:left="2154" w:right="2150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19"/>
      <w:ind w:left="2421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arrev2@bigpond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Service</dc:creator>
  <dc:subject>Change of Tariff Classification Practice and ACN 2008/18</dc:subject>
  <dc:title>AUSTRALIAN CUSTOMS NOTICE NO. 2008/34</dc:title>
  <dcterms:created xsi:type="dcterms:W3CDTF">2020-12-09T22:21:28Z</dcterms:created>
  <dcterms:modified xsi:type="dcterms:W3CDTF">2020-12-09T22:21:28Z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2008-07-15T00:00:00Z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2020-12-09T00:00:00Z</vt:filetime>
  </property>
</Properties>
</file>