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230240" cy="10911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30240" cy="1091183"/>
                    </a:xfrm>
                    <a:prstGeom prst="rect">
                      <a:avLst/>
                    </a:prstGeom>
                  </pic:spPr>
                </pic:pic>
              </a:graphicData>
            </a:graphic>
          </wp:inline>
        </w:drawing>
      </w:r>
      <w:r>
        <w:rPr>
          <w:rFonts w:ascii="Times New Roman"/>
        </w:rPr>
      </w:r>
    </w:p>
    <w:p>
      <w:pPr>
        <w:pStyle w:val="BodyText"/>
        <w:spacing w:before="5"/>
        <w:rPr>
          <w:rFonts w:ascii="Times New Roman"/>
          <w:sz w:val="6"/>
        </w:rPr>
      </w:pPr>
    </w:p>
    <w:p>
      <w:pPr>
        <w:pStyle w:val="Title"/>
      </w:pPr>
      <w:bookmarkStart w:name="AUSTRALIAN CUSTOMS NOTICE NO. 2009/23" w:id="1"/>
      <w:bookmarkEnd w:id="1"/>
      <w:r>
        <w:rPr>
          <w:b w:val="0"/>
        </w:rPr>
      </w:r>
      <w:r>
        <w:rPr/>
        <w:t>AUSTRALIAN CUSTOMS NOTICE NO.</w:t>
      </w:r>
      <w:r>
        <w:rPr>
          <w:spacing w:val="-33"/>
        </w:rPr>
        <w:t> </w:t>
      </w:r>
      <w:r>
        <w:rPr/>
        <w:t>2009/23</w:t>
      </w:r>
    </w:p>
    <w:p>
      <w:pPr>
        <w:spacing w:before="279"/>
        <w:ind w:left="3070" w:right="3084" w:firstLine="0"/>
        <w:jc w:val="center"/>
        <w:rPr>
          <w:b/>
          <w:sz w:val="28"/>
        </w:rPr>
      </w:pPr>
      <w:r>
        <w:rPr>
          <w:b/>
          <w:sz w:val="28"/>
        </w:rPr>
        <w:t>Statistical Code Changes for 1 July</w:t>
      </w:r>
      <w:r>
        <w:rPr>
          <w:b/>
          <w:spacing w:val="-10"/>
          <w:sz w:val="28"/>
        </w:rPr>
        <w:t> </w:t>
      </w:r>
      <w:r>
        <w:rPr>
          <w:b/>
          <w:sz w:val="28"/>
        </w:rPr>
        <w:t>2009</w:t>
      </w:r>
    </w:p>
    <w:p>
      <w:pPr>
        <w:pStyle w:val="BodyText"/>
        <w:spacing w:before="228"/>
        <w:ind w:left="1521" w:right="1660"/>
        <w:jc w:val="both"/>
      </w:pPr>
      <w:r>
        <w:rPr/>
        <w:t>The Australian Bureau of Statistics (ABS) has advised of changes to the statistical codes in the Customs Tariff Working Pages, operative on and from 1 July 2009, as set out below:</w:t>
      </w:r>
    </w:p>
    <w:p>
      <w:pPr>
        <w:pStyle w:val="BodyText"/>
        <w:spacing w:before="2"/>
        <w:rPr>
          <w:sz w:val="21"/>
        </w:rPr>
      </w:pPr>
    </w:p>
    <w:p>
      <w:pPr>
        <w:pStyle w:val="ListParagraph"/>
        <w:numPr>
          <w:ilvl w:val="0"/>
          <w:numId w:val="1"/>
        </w:numPr>
        <w:tabs>
          <w:tab w:pos="2241" w:val="left" w:leader="none"/>
          <w:tab w:pos="2242" w:val="left" w:leader="none"/>
        </w:tabs>
        <w:spacing w:line="240" w:lineRule="auto" w:before="0" w:after="0"/>
        <w:ind w:left="2241" w:right="1795" w:hanging="360"/>
        <w:jc w:val="left"/>
        <w:rPr>
          <w:sz w:val="20"/>
        </w:rPr>
      </w:pPr>
      <w:r>
        <w:rPr>
          <w:sz w:val="20"/>
        </w:rPr>
        <w:t>Subheading 2710.19.20 – </w:t>
      </w:r>
      <w:r>
        <w:rPr>
          <w:b/>
          <w:sz w:val="20"/>
        </w:rPr>
        <w:t>Diesel, other than blends of 2710.19.80 </w:t>
      </w:r>
      <w:r>
        <w:rPr>
          <w:sz w:val="20"/>
        </w:rPr>
        <w:t>– New statistical code 36 Marine Diesel Fuel (ships’ bunkers) and statistical code 38 (other) will be inserted. Units of quantity are</w:t>
      </w:r>
      <w:r>
        <w:rPr>
          <w:spacing w:val="-5"/>
          <w:sz w:val="20"/>
        </w:rPr>
        <w:t> </w:t>
      </w:r>
      <w:r>
        <w:rPr>
          <w:sz w:val="20"/>
        </w:rPr>
        <w:t>litres.</w:t>
      </w:r>
    </w:p>
    <w:p>
      <w:pPr>
        <w:pStyle w:val="BodyText"/>
        <w:spacing w:before="2"/>
        <w:rPr>
          <w:sz w:val="21"/>
        </w:rPr>
      </w:pPr>
    </w:p>
    <w:p>
      <w:pPr>
        <w:pStyle w:val="ListParagraph"/>
        <w:numPr>
          <w:ilvl w:val="0"/>
          <w:numId w:val="1"/>
        </w:numPr>
        <w:tabs>
          <w:tab w:pos="2242" w:val="left" w:leader="none"/>
        </w:tabs>
        <w:spacing w:line="240" w:lineRule="auto" w:before="0" w:after="0"/>
        <w:ind w:left="2241" w:right="1886" w:hanging="360"/>
        <w:jc w:val="both"/>
        <w:rPr>
          <w:sz w:val="20"/>
        </w:rPr>
      </w:pPr>
      <w:r>
        <w:rPr>
          <w:sz w:val="20"/>
        </w:rPr>
        <w:t>Subheading 2710.19.53 – Fuel oil having the characteristics as defined in Additional Note 1 to this Chapter – New statistical code 73 Heavy Fuel Oil (ships’ bunkers) and 74 (other) will be inserted. Units of quantity are</w:t>
      </w:r>
      <w:r>
        <w:rPr>
          <w:spacing w:val="-12"/>
          <w:sz w:val="20"/>
        </w:rPr>
        <w:t> </w:t>
      </w:r>
      <w:r>
        <w:rPr>
          <w:sz w:val="20"/>
        </w:rPr>
        <w:t>litres.</w:t>
      </w:r>
    </w:p>
    <w:p>
      <w:pPr>
        <w:pStyle w:val="BodyText"/>
        <w:rPr>
          <w:sz w:val="22"/>
        </w:rPr>
      </w:pPr>
    </w:p>
    <w:p>
      <w:pPr>
        <w:pStyle w:val="BodyText"/>
        <w:spacing w:before="5"/>
        <w:rPr>
          <w:sz w:val="22"/>
        </w:rPr>
      </w:pPr>
    </w:p>
    <w:p>
      <w:pPr>
        <w:pStyle w:val="Heading1"/>
        <w:jc w:val="both"/>
      </w:pPr>
      <w:bookmarkStart w:name="Further information" w:id="2"/>
      <w:bookmarkEnd w:id="2"/>
      <w:r>
        <w:rPr>
          <w:b w:val="0"/>
        </w:rPr>
      </w:r>
      <w:r>
        <w:rPr/>
        <w:t>Further information</w:t>
      </w:r>
    </w:p>
    <w:p>
      <w:pPr>
        <w:pStyle w:val="BodyText"/>
        <w:spacing w:before="2"/>
        <w:rPr>
          <w:b/>
          <w:sz w:val="24"/>
        </w:rPr>
      </w:pPr>
    </w:p>
    <w:p>
      <w:pPr>
        <w:pStyle w:val="BodyText"/>
        <w:spacing w:before="1"/>
        <w:ind w:left="1521" w:right="1674"/>
        <w:jc w:val="both"/>
      </w:pPr>
      <w:r>
        <w:rPr/>
        <w:t>Importers/brokers are required to include details of the ship’s name when completing an import declaration for ships’ bunkers. These details should be included in the ‘goods description’ field of the Nature 10 Import Declaration after the description of the goods when using the following tariff classifications and attached statistical codes:</w:t>
      </w:r>
    </w:p>
    <w:p>
      <w:pPr>
        <w:pStyle w:val="BodyText"/>
        <w:spacing w:before="1"/>
        <w:rPr>
          <w:sz w:val="21"/>
        </w:rPr>
      </w:pPr>
    </w:p>
    <w:p>
      <w:pPr>
        <w:pStyle w:val="ListParagraph"/>
        <w:numPr>
          <w:ilvl w:val="0"/>
          <w:numId w:val="1"/>
        </w:numPr>
        <w:tabs>
          <w:tab w:pos="2241" w:val="left" w:leader="none"/>
          <w:tab w:pos="2242" w:val="left" w:leader="none"/>
        </w:tabs>
        <w:spacing w:line="240" w:lineRule="auto" w:before="0" w:after="0"/>
        <w:ind w:left="2241" w:right="0" w:hanging="361"/>
        <w:jc w:val="left"/>
        <w:rPr>
          <w:sz w:val="20"/>
        </w:rPr>
      </w:pPr>
      <w:r>
        <w:rPr>
          <w:sz w:val="20"/>
        </w:rPr>
        <w:t>Subheading 2710.19.20 – 36 – Marine Diesel Fuel (ships’ bunkers);</w:t>
      </w:r>
      <w:r>
        <w:rPr>
          <w:spacing w:val="-15"/>
          <w:sz w:val="20"/>
        </w:rPr>
        <w:t> </w:t>
      </w:r>
      <w:r>
        <w:rPr>
          <w:sz w:val="20"/>
        </w:rPr>
        <w:t>and</w:t>
      </w:r>
    </w:p>
    <w:p>
      <w:pPr>
        <w:pStyle w:val="ListParagraph"/>
        <w:numPr>
          <w:ilvl w:val="0"/>
          <w:numId w:val="1"/>
        </w:numPr>
        <w:tabs>
          <w:tab w:pos="2241" w:val="left" w:leader="none"/>
          <w:tab w:pos="2242" w:val="left" w:leader="none"/>
        </w:tabs>
        <w:spacing w:line="480" w:lineRule="auto" w:before="14" w:after="0"/>
        <w:ind w:left="1521" w:right="3750" w:firstLine="360"/>
        <w:jc w:val="left"/>
        <w:rPr>
          <w:sz w:val="20"/>
        </w:rPr>
      </w:pPr>
      <w:r>
        <w:rPr>
          <w:sz w:val="20"/>
        </w:rPr>
        <w:t>Subheading 2710.19.53 – 73 – Heavy Fuel Oil (ships’ bunkers) See the example</w:t>
      </w:r>
      <w:r>
        <w:rPr>
          <w:spacing w:val="-4"/>
          <w:sz w:val="20"/>
        </w:rPr>
        <w:t> </w:t>
      </w:r>
      <w:r>
        <w:rPr>
          <w:sz w:val="20"/>
        </w:rPr>
        <w:t>below:</w:t>
      </w:r>
    </w:p>
    <w:p>
      <w:pPr>
        <w:pStyle w:val="BodyText"/>
        <w:spacing w:before="1"/>
        <w:ind w:left="1521"/>
      </w:pPr>
      <w:r>
        <w:rPr/>
        <w:t>Ship’s Bunkers – Australian Star</w:t>
      </w:r>
    </w:p>
    <w:p>
      <w:pPr>
        <w:pStyle w:val="BodyText"/>
        <w:spacing w:before="5"/>
        <w:rPr>
          <w:sz w:val="24"/>
        </w:rPr>
      </w:pPr>
    </w:p>
    <w:p>
      <w:pPr>
        <w:pStyle w:val="Heading1"/>
      </w:pPr>
      <w:bookmarkStart w:name="Tariff reprint pages " w:id="3"/>
      <w:bookmarkEnd w:id="3"/>
      <w:r>
        <w:rPr>
          <w:b w:val="0"/>
        </w:rPr>
      </w:r>
      <w:r>
        <w:rPr/>
        <w:t>Tariff reprint pages</w:t>
      </w:r>
    </w:p>
    <w:p>
      <w:pPr>
        <w:pStyle w:val="BodyText"/>
        <w:spacing w:before="2"/>
        <w:rPr>
          <w:b/>
          <w:sz w:val="24"/>
        </w:rPr>
      </w:pPr>
    </w:p>
    <w:p>
      <w:pPr>
        <w:pStyle w:val="BodyText"/>
        <w:ind w:left="1521" w:right="664"/>
      </w:pPr>
      <w:r>
        <w:rPr/>
        <w:t>Tariff reprint pages to reflect the above statistical code changes will be distributed in the week commencing 22 June 2009. All tariff working pages will be available on the Customs website at </w:t>
      </w:r>
      <w:hyperlink r:id="rId6">
        <w:r>
          <w:rPr>
            <w:color w:val="0000FF"/>
            <w:u w:val="single" w:color="0000FF"/>
          </w:rPr>
          <w:t>www.customs.gov.au</w:t>
        </w:r>
        <w:r>
          <w:rPr>
            <w:color w:val="0000FF"/>
          </w:rPr>
          <w:t> </w:t>
        </w:r>
      </w:hyperlink>
      <w:r>
        <w:rPr/>
        <w:t>. (Select import/export then customs tariff).</w:t>
      </w:r>
    </w:p>
    <w:p>
      <w:pPr>
        <w:pStyle w:val="BodyText"/>
        <w:spacing w:line="460" w:lineRule="atLeast"/>
        <w:ind w:left="2061" w:right="4615" w:hanging="541"/>
      </w:pPr>
      <w:r>
        <w:rPr/>
        <w:t>Any inquiries concerning these matters should be directed to: Manager,Tariff Legislation</w:t>
      </w:r>
    </w:p>
    <w:p>
      <w:pPr>
        <w:pStyle w:val="BodyText"/>
        <w:spacing w:before="1"/>
        <w:ind w:left="2061" w:right="7032"/>
      </w:pPr>
      <w:r>
        <w:rPr/>
        <w:t>Australian Customs Service 5 Constitution Avenue</w:t>
      </w:r>
    </w:p>
    <w:p>
      <w:pPr>
        <w:pStyle w:val="BodyText"/>
        <w:spacing w:line="230" w:lineRule="exact"/>
        <w:ind w:left="2061"/>
      </w:pPr>
      <w:r>
        <w:rPr/>
        <w:t>CANBERRA ACT</w:t>
      </w:r>
      <w:r>
        <w:rPr>
          <w:spacing w:val="53"/>
        </w:rPr>
        <w:t> </w:t>
      </w:r>
      <w:r>
        <w:rPr/>
        <w:t>2601</w:t>
      </w:r>
    </w:p>
    <w:p>
      <w:pPr>
        <w:pStyle w:val="BodyText"/>
        <w:ind w:left="2061"/>
      </w:pPr>
      <w:r>
        <w:rPr/>
        <w:t>Ph: 02 6275 6542</w:t>
      </w:r>
    </w:p>
    <w:p>
      <w:pPr>
        <w:pStyle w:val="BodyText"/>
        <w:rPr>
          <w:sz w:val="22"/>
        </w:rPr>
      </w:pPr>
    </w:p>
    <w:p>
      <w:pPr>
        <w:pStyle w:val="BodyText"/>
        <w:rPr>
          <w:sz w:val="22"/>
        </w:rPr>
      </w:pPr>
    </w:p>
    <w:p>
      <w:pPr>
        <w:pStyle w:val="BodyText"/>
        <w:spacing w:before="184"/>
        <w:ind w:left="1521" w:right="7967"/>
      </w:pPr>
      <w:r>
        <w:rPr/>
        <w:t>Jennifer Reimitz National Manager Trade Division CANBERRA ACT</w:t>
      </w:r>
    </w:p>
    <w:p>
      <w:pPr>
        <w:pStyle w:val="BodyText"/>
        <w:ind w:left="1521"/>
        <w:jc w:val="both"/>
      </w:pPr>
      <w:r>
        <w:rPr/>
        <w:t>9 June 2009</w:t>
      </w:r>
    </w:p>
    <w:sectPr>
      <w:type w:val="continuous"/>
      <w:pgSz w:w="1191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1" w:hanging="361"/>
      </w:pPr>
      <w:rPr>
        <w:rFonts w:hint="default" w:ascii="Arial" w:hAnsi="Arial" w:eastAsia="Arial" w:cs="Arial"/>
        <w:w w:val="131"/>
        <w:sz w:val="20"/>
        <w:szCs w:val="20"/>
      </w:rPr>
    </w:lvl>
    <w:lvl w:ilvl="1">
      <w:start w:val="0"/>
      <w:numFmt w:val="bullet"/>
      <w:lvlText w:val="•"/>
      <w:lvlJc w:val="left"/>
      <w:pPr>
        <w:ind w:left="3172" w:hanging="361"/>
      </w:pPr>
      <w:rPr>
        <w:rFonts w:hint="default"/>
      </w:rPr>
    </w:lvl>
    <w:lvl w:ilvl="2">
      <w:start w:val="0"/>
      <w:numFmt w:val="bullet"/>
      <w:lvlText w:val="•"/>
      <w:lvlJc w:val="left"/>
      <w:pPr>
        <w:ind w:left="4104" w:hanging="361"/>
      </w:pPr>
      <w:rPr>
        <w:rFonts w:hint="default"/>
      </w:rPr>
    </w:lvl>
    <w:lvl w:ilvl="3">
      <w:start w:val="0"/>
      <w:numFmt w:val="bullet"/>
      <w:lvlText w:val="•"/>
      <w:lvlJc w:val="left"/>
      <w:pPr>
        <w:ind w:left="5037" w:hanging="361"/>
      </w:pPr>
      <w:rPr>
        <w:rFonts w:hint="default"/>
      </w:rPr>
    </w:lvl>
    <w:lvl w:ilvl="4">
      <w:start w:val="0"/>
      <w:numFmt w:val="bullet"/>
      <w:lvlText w:val="•"/>
      <w:lvlJc w:val="left"/>
      <w:pPr>
        <w:ind w:left="5969" w:hanging="361"/>
      </w:pPr>
      <w:rPr>
        <w:rFonts w:hint="default"/>
      </w:rPr>
    </w:lvl>
    <w:lvl w:ilvl="5">
      <w:start w:val="0"/>
      <w:numFmt w:val="bullet"/>
      <w:lvlText w:val="•"/>
      <w:lvlJc w:val="left"/>
      <w:pPr>
        <w:ind w:left="6902" w:hanging="361"/>
      </w:pPr>
      <w:rPr>
        <w:rFonts w:hint="default"/>
      </w:rPr>
    </w:lvl>
    <w:lvl w:ilvl="6">
      <w:start w:val="0"/>
      <w:numFmt w:val="bullet"/>
      <w:lvlText w:val="•"/>
      <w:lvlJc w:val="left"/>
      <w:pPr>
        <w:ind w:left="7834" w:hanging="361"/>
      </w:pPr>
      <w:rPr>
        <w:rFonts w:hint="default"/>
      </w:rPr>
    </w:lvl>
    <w:lvl w:ilvl="7">
      <w:start w:val="0"/>
      <w:numFmt w:val="bullet"/>
      <w:lvlText w:val="•"/>
      <w:lvlJc w:val="left"/>
      <w:pPr>
        <w:ind w:left="8767" w:hanging="361"/>
      </w:pPr>
      <w:rPr>
        <w:rFonts w:hint="default"/>
      </w:rPr>
    </w:lvl>
    <w:lvl w:ilvl="8">
      <w:start w:val="0"/>
      <w:numFmt w:val="bullet"/>
      <w:lvlText w:val="•"/>
      <w:lvlJc w:val="left"/>
      <w:pPr>
        <w:ind w:left="9699"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521"/>
      <w:outlineLvl w:val="1"/>
    </w:pPr>
    <w:rPr>
      <w:rFonts w:ascii="Arial" w:hAnsi="Arial" w:eastAsia="Arial" w:cs="Arial"/>
      <w:b/>
      <w:bCs/>
      <w:sz w:val="24"/>
      <w:szCs w:val="24"/>
    </w:rPr>
  </w:style>
  <w:style w:styleId="Title" w:type="paragraph">
    <w:name w:val="Title"/>
    <w:basedOn w:val="Normal"/>
    <w:uiPriority w:val="1"/>
    <w:qFormat/>
    <w:pPr>
      <w:spacing w:before="91"/>
      <w:ind w:left="1521"/>
      <w:jc w:val="both"/>
    </w:pPr>
    <w:rPr>
      <w:rFonts w:ascii="Arial" w:hAnsi="Arial" w:eastAsia="Arial" w:cs="Arial"/>
      <w:b/>
      <w:bCs/>
      <w:sz w:val="32"/>
      <w:szCs w:val="32"/>
    </w:rPr>
  </w:style>
  <w:style w:styleId="ListParagraph" w:type="paragraph">
    <w:name w:val="List Paragraph"/>
    <w:basedOn w:val="Normal"/>
    <w:uiPriority w:val="1"/>
    <w:qFormat/>
    <w:pPr>
      <w:ind w:left="2241"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Australian Customs Notice No. 2009/23</dc:subject>
  <dc:title>Statistical Code Changes for 1 July 2009</dc:title>
  <dcterms:created xsi:type="dcterms:W3CDTF">2020-12-09T22:55:30Z</dcterms:created>
  <dcterms:modified xsi:type="dcterms:W3CDTF">2020-12-09T22:55:30Z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2009-06-12T00:00:00Z</vt:filetime>
  </property>
  <property fmtid="{D5CDD505-2E9C-101B-9397-08002B2CF9AE}" pid="3" name="Creator">
    <vt:lpwstr>Acrobat PDFMaker 8.0 for Word</vt:lpwstr>
  </property>
  <property fmtid="{D5CDD505-2E9C-101B-9397-08002B2CF9AE}" pid="4" name="LastSaved">
    <vt:filetime>2020-12-09T00:00:00Z</vt:filetime>
  </property>
</Properties>
</file>