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9"/>
        <w:rPr>
          <w:rFonts w:ascii="Times New Roman"/>
          <w:sz w:val="9"/>
        </w:rPr>
      </w:pPr>
    </w:p>
    <w:p>
      <w:pPr>
        <w:pStyle w:val="Title"/>
        <w:spacing w:before="49" w:after="17"/>
      </w:pPr>
      <w:r>
        <w:rPr/>
        <w:t>AUSTRALIAN CUSTOMS NOTICE NO. 2010/01</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pPr>
      <w:r>
        <w:rPr/>
        <w:t>Application for Customs Broker Licence</w:t>
      </w:r>
    </w:p>
    <w:p>
      <w:pPr>
        <w:pStyle w:val="BodyText"/>
        <w:rPr>
          <w:b/>
          <w:sz w:val="28"/>
        </w:rPr>
      </w:pPr>
    </w:p>
    <w:p>
      <w:pPr>
        <w:pStyle w:val="BodyText"/>
        <w:spacing w:before="172"/>
        <w:ind w:left="1502" w:right="1580"/>
        <w:jc w:val="center"/>
      </w:pPr>
      <w:r>
        <w:rPr/>
        <w:t>The following persons have applied to the Chief Executive Officer for a Customs broker licence.</w:t>
      </w:r>
    </w:p>
    <w:p>
      <w:pPr>
        <w:pStyle w:val="BodyText"/>
        <w:spacing w:before="4"/>
        <w:rPr>
          <w:sz w:val="16"/>
        </w:rPr>
      </w:pPr>
      <w:r>
        <w:rPr/>
        <w:pict>
          <v:shapetype id="_x0000_t202" o:spt="202" coordsize="21600,21600" path="m,l,21600r21600,l21600,xe">
            <v:stroke joinstyle="miter"/>
            <v:path gradientshapeok="t" o:connecttype="rect"/>
          </v:shapetype>
          <v:shape style="position:absolute;margin-left:85.079285pt;margin-top:11.826736pt;width:216pt;height:184.45pt;mso-position-horizontal-relative:page;mso-position-vertical-relative:paragraph;z-index:-15728128;mso-wrap-distance-left:0;mso-wrap-distance-right:0" type="#_x0000_t202" filled="false" stroked="true" strokeweight=".479531pt" strokecolor="#000000">
            <v:textbox inset="0,0,0,0">
              <w:txbxContent>
                <w:p>
                  <w:pPr>
                    <w:pStyle w:val="BodyText"/>
                    <w:spacing w:line="235" w:lineRule="auto"/>
                    <w:ind w:left="103" w:right="2009"/>
                  </w:pPr>
                  <w:r>
                    <w:rPr/>
                    <w:t>BATT, Jodie Adele BERRY, Sean Michael HILL, Mark Graeme LAWSON, Martin James MOYANO, Martin NGUYEN, Thi Kim Thu SHIWAN, Joanne Jotika WANG, Aiming</w:t>
                  </w:r>
                </w:p>
                <w:p>
                  <w:pPr>
                    <w:pStyle w:val="BodyText"/>
                    <w:spacing w:line="235" w:lineRule="auto"/>
                    <w:ind w:left="103" w:right="1719"/>
                  </w:pPr>
                  <w:r>
                    <w:rPr/>
                    <w:t>BLACKBURN, Simon David YU, JunJie</w:t>
                  </w:r>
                </w:p>
                <w:p>
                  <w:pPr>
                    <w:pStyle w:val="BodyText"/>
                    <w:spacing w:line="229" w:lineRule="exact"/>
                    <w:ind w:left="103"/>
                  </w:pPr>
                  <w:r>
                    <w:rPr/>
                    <w:t>ARVANITIDIS, Stefan</w:t>
                  </w:r>
                </w:p>
                <w:p>
                  <w:pPr>
                    <w:pStyle w:val="BodyText"/>
                    <w:spacing w:line="235" w:lineRule="auto"/>
                    <w:ind w:left="103" w:right="1764"/>
                  </w:pPr>
                  <w:r>
                    <w:rPr/>
                    <w:t>PENMETSA, Neeladri Raju HUANG, Jingbo</w:t>
                  </w:r>
                </w:p>
                <w:p>
                  <w:pPr>
                    <w:pStyle w:val="BodyText"/>
                    <w:spacing w:line="228" w:lineRule="exact"/>
                    <w:ind w:left="103"/>
                  </w:pPr>
                  <w:r>
                    <w:rPr/>
                    <w:t>CAI, Lijun</w:t>
                  </w:r>
                </w:p>
                <w:p>
                  <w:pPr>
                    <w:pStyle w:val="BodyText"/>
                    <w:spacing w:line="235" w:lineRule="auto"/>
                    <w:ind w:left="103"/>
                  </w:pPr>
                  <w:r>
                    <w:rPr/>
                    <w:t>LOFGREN-MADIGAN, James Richard WILLIAMS, Benjamin James</w:t>
                  </w:r>
                </w:p>
              </w:txbxContent>
            </v:textbox>
            <v:stroke dashstyle="solid"/>
            <w10:wrap type="topAndBottom"/>
          </v:shape>
        </w:pict>
      </w:r>
    </w:p>
    <w:p>
      <w:pPr>
        <w:pStyle w:val="BodyText"/>
      </w:pPr>
    </w:p>
    <w:p>
      <w:pPr>
        <w:pStyle w:val="BodyText"/>
        <w:spacing w:before="7"/>
        <w:rPr>
          <w:sz w:val="16"/>
        </w:rPr>
      </w:pPr>
    </w:p>
    <w:p>
      <w:pPr>
        <w:pStyle w:val="BodyText"/>
        <w:spacing w:line="235" w:lineRule="auto"/>
        <w:ind w:left="1521" w:right="1714"/>
      </w:pPr>
      <w:r>
        <w:rPr/>
        <w:t>Any persons wishing to make written representation in respect of these applications should address the correspondence by 1 February 2010 to:</w:t>
      </w:r>
    </w:p>
    <w:p>
      <w:pPr>
        <w:pStyle w:val="BodyText"/>
        <w:spacing w:before="7"/>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2"/>
        <w:ind w:left="1521" w:right="-7"/>
      </w:pPr>
      <w:r>
        <w:rPr/>
        <w:t>Australian Customs and</w:t>
      </w:r>
      <w:r>
        <w:rPr>
          <w:spacing w:val="-14"/>
        </w:rPr>
        <w:t> </w:t>
      </w:r>
      <w:r>
        <w:rPr/>
        <w:t>Border Protection Service</w:t>
      </w:r>
    </w:p>
    <w:p>
      <w:pPr>
        <w:pStyle w:val="BodyText"/>
        <w:spacing w:line="229" w:lineRule="exact"/>
        <w:ind w:left="1521"/>
      </w:pPr>
      <w:r>
        <w:rPr/>
        <w:t>5 Constitution Avenue</w:t>
      </w:r>
    </w:p>
    <w:p>
      <w:pPr>
        <w:pStyle w:val="BodyText"/>
        <w:spacing w:line="233" w:lineRule="exact"/>
        <w:ind w:left="1521"/>
      </w:pPr>
      <w:r>
        <w:rPr/>
        <w:t>CANBERRA ACT 2601</w:t>
      </w:r>
    </w:p>
    <w:p>
      <w:pPr>
        <w:pStyle w:val="BodyText"/>
      </w:pPr>
      <w:r>
        <w:rPr/>
        <w:br w:type="column"/>
      </w:r>
      <w:r>
        <w:rPr/>
      </w:r>
    </w:p>
    <w:p>
      <w:pPr>
        <w:pStyle w:val="BodyText"/>
        <w:spacing w:before="5"/>
        <w:rPr>
          <w:sz w:val="24"/>
        </w:rPr>
      </w:pPr>
    </w:p>
    <w:p>
      <w:pPr>
        <w:pStyle w:val="BodyText"/>
        <w:spacing w:before="1"/>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spacing w:before="6"/>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20"/>
        <w:ind w:left="1521" w:right="2815"/>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spacing w:before="4"/>
        <w:rPr>
          <w:sz w:val="18"/>
        </w:rPr>
      </w:pPr>
    </w:p>
    <w:p>
      <w:pPr>
        <w:pStyle w:val="BodyText"/>
        <w:spacing w:line="232" w:lineRule="exact"/>
        <w:ind w:left="1521"/>
      </w:pPr>
      <w:r>
        <w:rPr/>
        <w:t>Michel Cafun</w:t>
      </w:r>
    </w:p>
    <w:p>
      <w:pPr>
        <w:pStyle w:val="BodyText"/>
        <w:spacing w:line="235" w:lineRule="auto"/>
        <w:ind w:left="1521" w:right="7273"/>
      </w:pPr>
      <w:r>
        <w:rPr/>
        <w:t>Acting National Manager Compliance Assurance Branch for</w:t>
      </w:r>
    </w:p>
    <w:p>
      <w:pPr>
        <w:pStyle w:val="BodyText"/>
        <w:spacing w:line="357" w:lineRule="auto"/>
        <w:ind w:left="1521" w:right="7984"/>
      </w:pPr>
      <w:r>
        <w:rPr/>
        <w:t>Chief Executive Officer 12 January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502" w:right="151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- 2010-01.doc</dc:title>
  <dcterms:created xsi:type="dcterms:W3CDTF">2020-12-09T22:51:06Z</dcterms:created>
  <dcterms:modified xsi:type="dcterms:W3CDTF">2020-12-09T22:51:06Z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2010-01-18T00:00:00Z</vt:filetime>
  </property>
  <property fmtid="{D5CDD505-2E9C-101B-9397-08002B2CF9AE}" pid="3" name="Creator">
    <vt:lpwstr>PScript5.dll Version 5.2.2</vt:lpwstr>
  </property>
  <property fmtid="{D5CDD505-2E9C-101B-9397-08002B2CF9AE}" pid="4" name="LastSaved">
    <vt:filetime>2020-12-09T00:00:00Z</vt:filetime>
  </property>
</Properties>
</file>