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2010/06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1"/>
        <w:rPr>
          <w:b/>
          <w:sz w:val="23"/>
        </w:rPr>
      </w:pPr>
    </w:p>
    <w:p>
      <w:pPr>
        <w:pStyle w:val="BodyText"/>
        <w:ind w:left="801"/>
      </w:pPr>
      <w:r>
        <w:rPr/>
        <w:t>The following companies and individual have applied to the Chief Executive Officer for a Customs broker licence.</w:t>
      </w:r>
    </w:p>
    <w:p>
      <w:pPr>
        <w:pStyle w:val="BodyText"/>
        <w:spacing w:before="8"/>
        <w:rPr>
          <w:sz w:val="19"/>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480"/>
        <w:gridCol w:w="3300"/>
      </w:tblGrid>
      <w:tr>
        <w:trPr>
          <w:trHeight w:val="1509" w:hRule="atLeast"/>
        </w:trPr>
        <w:tc>
          <w:tcPr>
            <w:tcW w:w="3300" w:type="dxa"/>
            <w:tcBorders>
              <w:bottom w:val="nil"/>
            </w:tcBorders>
          </w:tcPr>
          <w:p>
            <w:pPr>
              <w:pStyle w:val="TableParagraph"/>
              <w:spacing w:line="227" w:lineRule="exact"/>
              <w:rPr>
                <w:b/>
                <w:sz w:val="20"/>
              </w:rPr>
            </w:pPr>
            <w:r>
              <w:rPr>
                <w:b/>
                <w:sz w:val="20"/>
                <w:u w:val="thick"/>
              </w:rPr>
              <w:t>COMPANY</w:t>
            </w:r>
          </w:p>
          <w:p>
            <w:pPr>
              <w:pStyle w:val="TableParagraph"/>
              <w:spacing w:line="230" w:lineRule="exact"/>
              <w:rPr>
                <w:sz w:val="20"/>
              </w:rPr>
            </w:pPr>
            <w:r>
              <w:rPr>
                <w:sz w:val="20"/>
              </w:rPr>
              <w:t>PricewaterhouseCoopers</w:t>
            </w:r>
          </w:p>
          <w:p>
            <w:pPr>
              <w:pStyle w:val="TableParagraph"/>
              <w:spacing w:line="235" w:lineRule="auto"/>
              <w:ind w:right="117"/>
              <w:rPr>
                <w:sz w:val="20"/>
              </w:rPr>
            </w:pPr>
            <w:r>
              <w:rPr>
                <w:sz w:val="20"/>
              </w:rPr>
              <w:t>Public Sector Services Pty Limited ABN 38 124 230 360</w:t>
            </w:r>
          </w:p>
          <w:p>
            <w:pPr>
              <w:pStyle w:val="TableParagraph"/>
              <w:spacing w:line="229" w:lineRule="exact"/>
              <w:rPr>
                <w:sz w:val="20"/>
              </w:rPr>
            </w:pPr>
            <w:r>
              <w:rPr>
                <w:sz w:val="20"/>
              </w:rPr>
              <w:t>201 Sussex Street</w:t>
            </w:r>
          </w:p>
          <w:p>
            <w:pPr>
              <w:pStyle w:val="TableParagraph"/>
              <w:spacing w:line="233" w:lineRule="exact"/>
              <w:rPr>
                <w:sz w:val="20"/>
              </w:rPr>
            </w:pPr>
            <w:r>
              <w:rPr>
                <w:sz w:val="20"/>
              </w:rPr>
              <w:t>Sydney NSW 2000</w:t>
            </w:r>
          </w:p>
        </w:tc>
        <w:tc>
          <w:tcPr>
            <w:tcW w:w="3480" w:type="dxa"/>
            <w:tcBorders>
              <w:bottom w:val="nil"/>
            </w:tcBorders>
          </w:tcPr>
          <w:p>
            <w:pPr>
              <w:pStyle w:val="TableParagraph"/>
              <w:spacing w:line="227" w:lineRule="exact"/>
              <w:rPr>
                <w:b/>
                <w:sz w:val="20"/>
              </w:rPr>
            </w:pPr>
            <w:r>
              <w:rPr>
                <w:b/>
                <w:sz w:val="20"/>
                <w:u w:val="thick"/>
              </w:rPr>
              <w:t>COMPANY</w:t>
            </w:r>
          </w:p>
          <w:p>
            <w:pPr>
              <w:pStyle w:val="TableParagraph"/>
              <w:spacing w:line="232" w:lineRule="auto" w:before="4"/>
              <w:ind w:right="608"/>
              <w:rPr>
                <w:sz w:val="20"/>
              </w:rPr>
            </w:pPr>
            <w:r>
              <w:rPr>
                <w:sz w:val="20"/>
              </w:rPr>
              <w:t>Select Freight Services Pty Ltd ABN 39 110 063 011</w:t>
            </w:r>
          </w:p>
          <w:p>
            <w:pPr>
              <w:pStyle w:val="TableParagraph"/>
              <w:spacing w:line="229" w:lineRule="exact"/>
              <w:rPr>
                <w:sz w:val="20"/>
              </w:rPr>
            </w:pPr>
            <w:r>
              <w:rPr>
                <w:sz w:val="20"/>
              </w:rPr>
              <w:t>Unit 4, 85-91 Keilor Park Drive</w:t>
            </w:r>
          </w:p>
          <w:p>
            <w:pPr>
              <w:pStyle w:val="TableParagraph"/>
              <w:spacing w:line="233" w:lineRule="exact"/>
              <w:rPr>
                <w:sz w:val="20"/>
              </w:rPr>
            </w:pPr>
            <w:r>
              <w:rPr>
                <w:sz w:val="20"/>
              </w:rPr>
              <w:t>Tullamarine VIC 3043</w:t>
            </w:r>
          </w:p>
        </w:tc>
        <w:tc>
          <w:tcPr>
            <w:tcW w:w="3300" w:type="dxa"/>
            <w:tcBorders>
              <w:bottom w:val="nil"/>
            </w:tcBorders>
          </w:tcPr>
          <w:p>
            <w:pPr>
              <w:pStyle w:val="TableParagraph"/>
              <w:spacing w:line="227" w:lineRule="exact"/>
              <w:rPr>
                <w:b/>
                <w:sz w:val="20"/>
              </w:rPr>
            </w:pPr>
            <w:r>
              <w:rPr>
                <w:b/>
                <w:sz w:val="20"/>
                <w:u w:val="thick"/>
              </w:rPr>
              <w:t>COMPANY</w:t>
            </w:r>
          </w:p>
          <w:p>
            <w:pPr>
              <w:pStyle w:val="TableParagraph"/>
              <w:spacing w:line="230" w:lineRule="exact"/>
              <w:rPr>
                <w:sz w:val="20"/>
              </w:rPr>
            </w:pPr>
            <w:r>
              <w:rPr>
                <w:sz w:val="20"/>
              </w:rPr>
              <w:t>KMLT Intermodal Pty Ltd (T/A</w:t>
            </w:r>
          </w:p>
          <w:p>
            <w:pPr>
              <w:pStyle w:val="TableParagraph"/>
              <w:spacing w:line="235" w:lineRule="auto"/>
              <w:ind w:right="917"/>
              <w:rPr>
                <w:sz w:val="20"/>
              </w:rPr>
            </w:pPr>
            <w:r>
              <w:rPr>
                <w:sz w:val="20"/>
              </w:rPr>
              <w:t>S.A.C. Online Clearance) ABN 95 130 555 592</w:t>
            </w:r>
          </w:p>
          <w:p>
            <w:pPr>
              <w:pStyle w:val="TableParagraph"/>
              <w:spacing w:line="235" w:lineRule="auto"/>
              <w:ind w:right="1095"/>
              <w:rPr>
                <w:sz w:val="20"/>
              </w:rPr>
            </w:pPr>
            <w:r>
              <w:rPr>
                <w:sz w:val="20"/>
              </w:rPr>
              <w:t>17 Hammersley Road Grays Point NSW 2232</w:t>
            </w:r>
          </w:p>
        </w:tc>
      </w:tr>
      <w:tr>
        <w:trPr>
          <w:trHeight w:val="1609" w:hRule="atLeast"/>
        </w:trPr>
        <w:tc>
          <w:tcPr>
            <w:tcW w:w="3300" w:type="dxa"/>
            <w:tcBorders>
              <w:top w:val="nil"/>
              <w:bottom w:val="nil"/>
            </w:tcBorders>
          </w:tcPr>
          <w:p>
            <w:pPr>
              <w:pStyle w:val="TableParagraph"/>
              <w:spacing w:line="235" w:lineRule="auto" w:before="95"/>
              <w:ind w:right="829"/>
              <w:rPr>
                <w:sz w:val="20"/>
              </w:rPr>
            </w:pPr>
            <w:r>
              <w:rPr>
                <w:b/>
                <w:sz w:val="20"/>
              </w:rPr>
              <w:t>Persons in Authority </w:t>
            </w:r>
            <w:r>
              <w:rPr>
                <w:sz w:val="20"/>
              </w:rPr>
              <w:t>WILSON, Neil Andrew TWOMEY, Wayne David STEWART, Grant Charles Thomas</w:t>
            </w:r>
          </w:p>
          <w:p>
            <w:pPr>
              <w:pStyle w:val="TableParagraph"/>
              <w:spacing w:line="230" w:lineRule="exact"/>
              <w:rPr>
                <w:sz w:val="20"/>
              </w:rPr>
            </w:pPr>
            <w:r>
              <w:rPr>
                <w:sz w:val="20"/>
              </w:rPr>
              <w:t>MINEHAN, Leigh Peers</w:t>
            </w:r>
          </w:p>
        </w:tc>
        <w:tc>
          <w:tcPr>
            <w:tcW w:w="3480" w:type="dxa"/>
            <w:tcBorders>
              <w:top w:val="nil"/>
              <w:bottom w:val="nil"/>
            </w:tcBorders>
          </w:tcPr>
          <w:p>
            <w:pPr>
              <w:pStyle w:val="TableParagraph"/>
              <w:spacing w:line="235" w:lineRule="auto" w:before="95"/>
              <w:ind w:right="797"/>
              <w:rPr>
                <w:sz w:val="20"/>
              </w:rPr>
            </w:pPr>
            <w:r>
              <w:rPr>
                <w:b/>
                <w:sz w:val="20"/>
              </w:rPr>
              <w:t>Persons in Authority </w:t>
            </w:r>
            <w:r>
              <w:rPr>
                <w:sz w:val="20"/>
              </w:rPr>
              <w:t>WRIGHT, Christopher Phillip GIDDINGS, Paul Anthony</w:t>
            </w:r>
          </w:p>
        </w:tc>
        <w:tc>
          <w:tcPr>
            <w:tcW w:w="3300" w:type="dxa"/>
            <w:tcBorders>
              <w:top w:val="nil"/>
              <w:bottom w:val="nil"/>
            </w:tcBorders>
          </w:tcPr>
          <w:p>
            <w:pPr>
              <w:pStyle w:val="TableParagraph"/>
              <w:spacing w:line="235" w:lineRule="exact" w:before="91"/>
              <w:rPr>
                <w:b/>
                <w:sz w:val="20"/>
              </w:rPr>
            </w:pPr>
            <w:r>
              <w:rPr>
                <w:b/>
                <w:sz w:val="20"/>
              </w:rPr>
              <w:t>Person in Authority</w:t>
            </w:r>
          </w:p>
          <w:p>
            <w:pPr>
              <w:pStyle w:val="TableParagraph"/>
              <w:spacing w:line="232" w:lineRule="exact"/>
              <w:rPr>
                <w:sz w:val="20"/>
              </w:rPr>
            </w:pPr>
            <w:r>
              <w:rPr>
                <w:sz w:val="20"/>
              </w:rPr>
              <w:t>JOHNS, Karen Therese</w:t>
            </w:r>
          </w:p>
        </w:tc>
      </w:tr>
      <w:tr>
        <w:trPr>
          <w:trHeight w:val="920" w:hRule="atLeast"/>
        </w:trPr>
        <w:tc>
          <w:tcPr>
            <w:tcW w:w="3300" w:type="dxa"/>
            <w:tcBorders>
              <w:top w:val="nil"/>
              <w:bottom w:val="nil"/>
            </w:tcBorders>
          </w:tcPr>
          <w:p>
            <w:pPr>
              <w:pStyle w:val="TableParagraph"/>
              <w:spacing w:line="235" w:lineRule="auto" w:before="94"/>
              <w:ind w:right="773"/>
              <w:rPr>
                <w:sz w:val="20"/>
              </w:rPr>
            </w:pPr>
            <w:r>
              <w:rPr>
                <w:b/>
                <w:sz w:val="20"/>
              </w:rPr>
              <w:t>Nominee Brokers </w:t>
            </w:r>
            <w:r>
              <w:rPr>
                <w:sz w:val="20"/>
              </w:rPr>
              <w:t>WILKINSON, Russell Mark DUTTON, Gary William</w:t>
            </w:r>
          </w:p>
        </w:tc>
        <w:tc>
          <w:tcPr>
            <w:tcW w:w="3480" w:type="dxa"/>
            <w:tcBorders>
              <w:top w:val="nil"/>
              <w:bottom w:val="nil"/>
            </w:tcBorders>
          </w:tcPr>
          <w:p>
            <w:pPr>
              <w:pStyle w:val="TableParagraph"/>
              <w:spacing w:line="237" w:lineRule="exact" w:before="90"/>
              <w:rPr>
                <w:b/>
                <w:sz w:val="20"/>
              </w:rPr>
            </w:pPr>
            <w:r>
              <w:rPr>
                <w:b/>
                <w:sz w:val="20"/>
              </w:rPr>
              <w:t>Nominee Broker</w:t>
            </w:r>
          </w:p>
          <w:p>
            <w:pPr>
              <w:pStyle w:val="TableParagraph"/>
              <w:spacing w:line="233" w:lineRule="exact"/>
              <w:rPr>
                <w:sz w:val="20"/>
              </w:rPr>
            </w:pPr>
            <w:r>
              <w:rPr>
                <w:sz w:val="20"/>
              </w:rPr>
              <w:t>KILLIP, Ian Geoffrey</w:t>
            </w:r>
          </w:p>
        </w:tc>
        <w:tc>
          <w:tcPr>
            <w:tcW w:w="3300" w:type="dxa"/>
            <w:tcBorders>
              <w:top w:val="nil"/>
              <w:bottom w:val="nil"/>
            </w:tcBorders>
          </w:tcPr>
          <w:p>
            <w:pPr>
              <w:pStyle w:val="TableParagraph"/>
              <w:spacing w:line="237" w:lineRule="exact" w:before="90"/>
              <w:rPr>
                <w:b/>
                <w:sz w:val="20"/>
              </w:rPr>
            </w:pPr>
            <w:r>
              <w:rPr>
                <w:b/>
                <w:sz w:val="20"/>
              </w:rPr>
              <w:t>Nominee Broker</w:t>
            </w:r>
          </w:p>
          <w:p>
            <w:pPr>
              <w:pStyle w:val="TableParagraph"/>
              <w:spacing w:line="233" w:lineRule="exact"/>
              <w:rPr>
                <w:sz w:val="20"/>
              </w:rPr>
            </w:pPr>
            <w:r>
              <w:rPr>
                <w:sz w:val="20"/>
              </w:rPr>
              <w:t>JOHNS, Karen Therese</w:t>
            </w:r>
          </w:p>
        </w:tc>
      </w:tr>
      <w:tr>
        <w:trPr>
          <w:trHeight w:val="559" w:hRule="atLeast"/>
        </w:trPr>
        <w:tc>
          <w:tcPr>
            <w:tcW w:w="3300" w:type="dxa"/>
            <w:tcBorders>
              <w:top w:val="nil"/>
            </w:tcBorders>
          </w:tcPr>
          <w:p>
            <w:pPr>
              <w:pStyle w:val="TableParagraph"/>
              <w:ind w:left="0"/>
              <w:rPr>
                <w:rFonts w:ascii="Times New Roman"/>
                <w:sz w:val="20"/>
              </w:rPr>
            </w:pPr>
          </w:p>
        </w:tc>
        <w:tc>
          <w:tcPr>
            <w:tcW w:w="3480" w:type="dxa"/>
            <w:tcBorders>
              <w:top w:val="nil"/>
            </w:tcBorders>
          </w:tcPr>
          <w:p>
            <w:pPr>
              <w:pStyle w:val="TableParagraph"/>
              <w:ind w:left="0"/>
              <w:rPr>
                <w:rFonts w:ascii="Times New Roman"/>
                <w:sz w:val="20"/>
              </w:rPr>
            </w:pPr>
          </w:p>
        </w:tc>
        <w:tc>
          <w:tcPr>
            <w:tcW w:w="3300" w:type="dxa"/>
            <w:tcBorders>
              <w:top w:val="nil"/>
            </w:tcBorders>
          </w:tcPr>
          <w:p>
            <w:pPr>
              <w:pStyle w:val="TableParagraph"/>
              <w:spacing w:line="235" w:lineRule="exact" w:before="91"/>
              <w:rPr>
                <w:b/>
                <w:sz w:val="20"/>
              </w:rPr>
            </w:pPr>
            <w:r>
              <w:rPr>
                <w:b/>
                <w:sz w:val="20"/>
                <w:u w:val="thick"/>
              </w:rPr>
              <w:t>INDIVIDUAL</w:t>
            </w:r>
          </w:p>
          <w:p>
            <w:pPr>
              <w:pStyle w:val="TableParagraph"/>
              <w:spacing w:line="212" w:lineRule="exact"/>
              <w:rPr>
                <w:sz w:val="20"/>
              </w:rPr>
            </w:pPr>
            <w:r>
              <w:rPr>
                <w:sz w:val="20"/>
              </w:rPr>
              <w:t>FRASER, Matthew David</w:t>
            </w:r>
          </w:p>
        </w:tc>
      </w:tr>
    </w:tbl>
    <w:p>
      <w:pPr>
        <w:pStyle w:val="BodyText"/>
        <w:spacing w:before="5"/>
        <w:rPr>
          <w:sz w:val="19"/>
        </w:rPr>
      </w:pPr>
    </w:p>
    <w:p>
      <w:pPr>
        <w:pStyle w:val="BodyText"/>
        <w:spacing w:line="235" w:lineRule="auto"/>
        <w:ind w:left="801" w:right="1234"/>
      </w:pPr>
      <w:r>
        <w:rPr/>
        <w:t>Any persons wishing to make written representation in respect of these applications should address the correspondence by 1 March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2" w:lineRule="auto" w:before="4"/>
        <w:ind w:left="1521" w:right="20"/>
      </w:pPr>
      <w:r>
        <w:rPr/>
        <w:t>Australian Customs Service 5 Constitution Avenue</w:t>
      </w:r>
    </w:p>
    <w:p>
      <w:pPr>
        <w:pStyle w:val="BodyText"/>
        <w:spacing w:line="232"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9"/>
        <w:rPr>
          <w:sz w:val="13"/>
        </w:rPr>
      </w:pPr>
    </w:p>
    <w:p>
      <w:pPr>
        <w:pStyle w:val="BodyText"/>
        <w:spacing w:line="235" w:lineRule="auto" w:before="67"/>
        <w:ind w:left="801" w:right="700"/>
      </w:pPr>
      <w:r>
        <w:rPr/>
        <w:t>Principles</w:t>
      </w:r>
      <w:r>
        <w:rPr>
          <w:spacing w:val="-3"/>
        </w:rPr>
        <w:t> </w:t>
      </w:r>
      <w:r>
        <w:rPr/>
        <w:t>of</w:t>
      </w:r>
      <w:r>
        <w:rPr>
          <w:spacing w:val="-1"/>
        </w:rPr>
        <w:t> </w:t>
      </w:r>
      <w:r>
        <w:rPr/>
        <w:t>procedural</w:t>
      </w:r>
      <w:r>
        <w:rPr>
          <w:spacing w:val="-5"/>
        </w:rPr>
        <w:t> </w:t>
      </w:r>
      <w:r>
        <w:rPr/>
        <w:t>fairness</w:t>
      </w:r>
      <w:r>
        <w:rPr>
          <w:spacing w:val="-2"/>
        </w:rPr>
        <w:t> </w:t>
      </w:r>
      <w:r>
        <w:rPr/>
        <w:t>in</w:t>
      </w:r>
      <w:r>
        <w:rPr>
          <w:spacing w:val="-4"/>
        </w:rPr>
        <w:t> </w:t>
      </w:r>
      <w:r>
        <w:rPr/>
        <w:t>respect</w:t>
      </w:r>
      <w:r>
        <w:rPr>
          <w:spacing w:val="-3"/>
        </w:rPr>
        <w:t> </w:t>
      </w:r>
      <w:r>
        <w:rPr/>
        <w:t>of</w:t>
      </w:r>
      <w:r>
        <w:rPr>
          <w:spacing w:val="-2"/>
        </w:rPr>
        <w:t> </w:t>
      </w:r>
      <w:r>
        <w:rPr/>
        <w:t>information</w:t>
      </w:r>
      <w:r>
        <w:rPr>
          <w:spacing w:val="-3"/>
        </w:rPr>
        <w:t> </w:t>
      </w:r>
      <w:r>
        <w:rPr/>
        <w:t>that</w:t>
      </w:r>
      <w:r>
        <w:rPr>
          <w:spacing w:val="-2"/>
        </w:rPr>
        <w:t> </w:t>
      </w:r>
      <w:r>
        <w:rPr/>
        <w:t>is</w:t>
      </w:r>
      <w:r>
        <w:rPr>
          <w:spacing w:val="-2"/>
        </w:rPr>
        <w:t> </w:t>
      </w:r>
      <w:r>
        <w:rPr/>
        <w:t>potentially</w:t>
      </w:r>
      <w:r>
        <w:rPr>
          <w:spacing w:val="-6"/>
        </w:rPr>
        <w:t> </w:t>
      </w:r>
      <w:r>
        <w:rPr/>
        <w:t>adverse</w:t>
      </w:r>
      <w:r>
        <w:rPr>
          <w:spacing w:val="-4"/>
        </w:rPr>
        <w:t> </w:t>
      </w:r>
      <w:r>
        <w:rPr/>
        <w:t>to</w:t>
      </w:r>
      <w:r>
        <w:rPr>
          <w:spacing w:val="-3"/>
        </w:rPr>
        <w:t> </w:t>
      </w:r>
      <w:r>
        <w:rPr/>
        <w:t>the</w:t>
      </w:r>
      <w:r>
        <w:rPr>
          <w:spacing w:val="-2"/>
        </w:rPr>
        <w:t> </w:t>
      </w:r>
      <w:r>
        <w:rPr/>
        <w:t>applicant</w:t>
      </w:r>
      <w:r>
        <w:rPr>
          <w:spacing w:val="-1"/>
        </w:rPr>
        <w:t> </w:t>
      </w:r>
      <w:r>
        <w:rPr/>
        <w:t>will</w:t>
      </w:r>
      <w:r>
        <w:rPr>
          <w:spacing w:val="-4"/>
        </w:rPr>
        <w:t> </w:t>
      </w:r>
      <w:r>
        <w:rPr/>
        <w:t>be</w:t>
      </w:r>
      <w:r>
        <w:rPr>
          <w:spacing w:val="-4"/>
        </w:rPr>
        <w:t> </w:t>
      </w:r>
      <w:r>
        <w:rPr/>
        <w:t>applied and if information is received that is considered credible, relevant and significant, the applicant will be made aware of the substance of the representation and given the opportunity to respond to the</w:t>
      </w:r>
      <w:r>
        <w:rPr>
          <w:spacing w:val="-30"/>
        </w:rPr>
        <w:t> </w:t>
      </w:r>
      <w:r>
        <w:rPr/>
        <w:t>representation.</w:t>
      </w:r>
    </w:p>
    <w:p>
      <w:pPr>
        <w:pStyle w:val="BodyText"/>
        <w:spacing w:line="235" w:lineRule="auto" w:before="118"/>
        <w:ind w:left="801" w:right="1234"/>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pPr>
    </w:p>
    <w:p>
      <w:pPr>
        <w:pStyle w:val="BodyText"/>
        <w:spacing w:before="10"/>
        <w:rPr>
          <w:sz w:val="17"/>
        </w:rPr>
      </w:pPr>
    </w:p>
    <w:p>
      <w:pPr>
        <w:pStyle w:val="BodyText"/>
        <w:spacing w:line="235" w:lineRule="auto"/>
        <w:ind w:left="801" w:right="9105"/>
      </w:pPr>
      <w:r>
        <w:rPr/>
        <w:t>Craig Sommerville National Manager</w:t>
      </w:r>
    </w:p>
    <w:p>
      <w:pPr>
        <w:pStyle w:val="BodyText"/>
        <w:spacing w:line="235" w:lineRule="auto"/>
        <w:ind w:left="801" w:right="7993"/>
      </w:pPr>
      <w:r>
        <w:rPr/>
        <w:t>Compliance Assurance Branch for</w:t>
      </w:r>
    </w:p>
    <w:p>
      <w:pPr>
        <w:pStyle w:val="BodyText"/>
        <w:spacing w:line="357" w:lineRule="auto"/>
        <w:ind w:left="1188" w:right="8704" w:hanging="387"/>
      </w:pPr>
      <w:r>
        <w:rPr/>
        <w:t>Chief Executive Officer February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2010-06.doc</dc:title>
  <dcterms:created xsi:type="dcterms:W3CDTF">2020-12-09T22:59:33Z</dcterms:created>
  <dcterms:modified xsi:type="dcterms:W3CDTF">2020-12-09T22:59:33Z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2010-02-10T00:00:00Z</vt:filetime>
  </property>
  <property fmtid="{D5CDD505-2E9C-101B-9397-08002B2CF9AE}" pid="3" name="Creator">
    <vt:lpwstr>PScript5.dll Version 5.2.2</vt:lpwstr>
  </property>
  <property fmtid="{D5CDD505-2E9C-101B-9397-08002B2CF9AE}" pid="4" name="LastSaved">
    <vt:filetime>2020-12-09T00:00:00Z</vt:filetime>
  </property>
</Properties>
</file>