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 w:right="-1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57421" cy="109727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7421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</w:pPr>
      <w:bookmarkStart w:name="AUSTRALIAN CUSTOMS NOTICE NO. 2010/22" w:id="1"/>
      <w:bookmarkEnd w:id="1"/>
      <w:r>
        <w:rPr>
          <w:b w:val="0"/>
        </w:rPr>
      </w:r>
      <w:r>
        <w:rPr/>
        <w:t>AUSTRALIAN CUSTOMS NOTICE NO. 2010/22</w:t>
      </w:r>
    </w:p>
    <w:p>
      <w:pPr>
        <w:pStyle w:val="BodyText"/>
        <w:spacing w:line="20" w:lineRule="exact"/>
        <w:ind w:left="1492"/>
        <w:rPr>
          <w:sz w:val="2"/>
        </w:rPr>
      </w:pPr>
      <w:r>
        <w:rPr>
          <w:sz w:val="2"/>
        </w:rPr>
        <w:pict>
          <v:group style="width:428.05pt;height:.75pt;mso-position-horizontal-relative:char;mso-position-vertical-relative:line" coordorigin="0,0" coordsize="8561,15">
            <v:rect style="position:absolute;left:0;top:0;width:856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15"/>
        </w:rPr>
      </w:pPr>
    </w:p>
    <w:p>
      <w:pPr>
        <w:spacing w:before="92"/>
        <w:ind w:left="1521" w:right="2520" w:firstLine="0"/>
        <w:jc w:val="left"/>
        <w:rPr>
          <w:b/>
          <w:sz w:val="24"/>
        </w:rPr>
      </w:pPr>
      <w:bookmarkStart w:name="Customs Notice (No. 1) 2010 – Increased " w:id="2"/>
      <w:bookmarkEnd w:id="2"/>
      <w:r>
        <w:rPr/>
      </w:r>
      <w:r>
        <w:rPr>
          <w:b/>
          <w:sz w:val="24"/>
        </w:rPr>
        <w:t>Customs Notice (No. 1) 2010 – Increased rates of duty for tobacco products</w:t>
      </w:r>
    </w:p>
    <w:p>
      <w:pPr>
        <w:pStyle w:val="BodyText"/>
        <w:spacing w:before="233"/>
        <w:ind w:left="1521" w:right="1901"/>
      </w:pPr>
      <w:r>
        <w:rPr/>
        <w:t>The Government announced on 29 April 2010 increases in the excise and excise-equivalent rates of duty for tobacco and tobacco products.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521"/>
      </w:pPr>
      <w:r>
        <w:rPr/>
        <w:t>The excise-equivalent component of the customs duty increased from $0.26220 (as at</w:t>
      </w:r>
    </w:p>
    <w:p>
      <w:pPr>
        <w:pStyle w:val="BodyText"/>
        <w:spacing w:before="1"/>
        <w:ind w:left="1521" w:right="1802"/>
      </w:pPr>
      <w:r>
        <w:rPr/>
        <w:t>1 February 2010) to $0.32775 per stick (applying to cigarettes, cigars etc not exceeding 0.8 grams per stick of tobacco content) and from $327.77 (as at 1 February 2010) to $409.71 per kilogram of tobacco content for ‘other’ tobacco.</w:t>
      </w:r>
    </w:p>
    <w:p>
      <w:pPr>
        <w:pStyle w:val="BodyText"/>
        <w:spacing w:before="1"/>
      </w:pPr>
    </w:p>
    <w:p>
      <w:pPr>
        <w:pStyle w:val="BodyText"/>
        <w:spacing w:before="1"/>
        <w:ind w:left="1521" w:right="1735"/>
      </w:pPr>
      <w:r>
        <w:rPr/>
        <w:t>Publication of Customs Notice (No. 1) 2010 in Special Commonwealth Gazette No. S 62 of 29 April 2010 gave effect to the new rates. Excise Notice (No. 1) 2010, published in Special Commonwealth Gazette No. S 63 of 29 April 2010 made equivalent changes to the duty rates for the corresponding items in the </w:t>
      </w:r>
      <w:r>
        <w:rPr>
          <w:i/>
        </w:rPr>
        <w:t>Excise Tariff Act 1921</w:t>
      </w:r>
      <w:r>
        <w:rPr/>
        <w:t>, for locally manufactured goods.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21" w:right="1535"/>
      </w:pPr>
      <w:r>
        <w:rPr/>
        <w:t>The new rates came into effect from 30 April 2010 and apply to goods imported into Australia on and from 30 April 2010.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21" w:right="1588"/>
      </w:pPr>
      <w:r>
        <w:rPr/>
        <w:t>Tariff classifications in Schedule 3 of the Customs Tariff affected by the increase are set out in the Table below. These rate increases apply to goods imported from all sources, including under Australia’s Free Trade Agreements: Schedule 5 (US originating goods), Schedule 6 (Thai originating goods), Schedule 7 (Chilean originating goods) and Schedule 8 (AANZ originating goods) of the Customs Tariff.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521" w:right="1914" w:hanging="1"/>
      </w:pPr>
      <w:r>
        <w:rPr/>
        <w:t>Any inquiries concerning these matters should be directed to the Manager, Tariff Legislation telephone (02) 6275 6542.</w:t>
      </w:r>
    </w:p>
    <w:p>
      <w:pPr>
        <w:pStyle w:val="BodyText"/>
        <w:spacing w:before="1"/>
      </w:pPr>
    </w:p>
    <w:p>
      <w:pPr>
        <w:pStyle w:val="BodyText"/>
        <w:ind w:left="1521" w:right="1824"/>
      </w:pPr>
      <w:r>
        <w:rPr/>
        <w:t>Customs Tariff pages to be issued in connection with these changes are </w:t>
      </w:r>
      <w:r>
        <w:rPr>
          <w:u w:val="single"/>
        </w:rPr>
        <w:t>Schedule 3</w:t>
      </w:r>
      <w:r>
        <w:rPr/>
        <w:t> Chapter 24/3 (R.33), </w:t>
      </w:r>
      <w:r>
        <w:rPr>
          <w:u w:val="single"/>
        </w:rPr>
        <w:t>Schedule 5</w:t>
      </w:r>
      <w:r>
        <w:rPr/>
        <w:t> 5/3 (R.17), </w:t>
      </w:r>
      <w:r>
        <w:rPr>
          <w:u w:val="single"/>
        </w:rPr>
        <w:t>Schedule 6</w:t>
      </w:r>
      <w:r>
        <w:rPr/>
        <w:t> 6/3 (R.16), </w:t>
      </w:r>
      <w:r>
        <w:rPr>
          <w:u w:val="single"/>
        </w:rPr>
        <w:t>Schedule 7</w:t>
      </w:r>
      <w:r>
        <w:rPr/>
        <w:t> 7/3 (R.4) and </w:t>
      </w:r>
      <w:r>
        <w:rPr>
          <w:u w:val="single"/>
        </w:rPr>
        <w:t>Schedule 8</w:t>
      </w:r>
      <w:r>
        <w:rPr/>
        <w:t> 8/3 (R.2).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93"/>
        <w:ind w:left="1521"/>
      </w:pPr>
      <w:r>
        <w:rPr/>
        <w:t>The above tariff reprint pages will be issued in the week commencing 10 May 2010.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1521" w:right="8466"/>
      </w:pPr>
      <w:r>
        <w:rPr/>
        <w:t>Anthony </w:t>
      </w:r>
      <w:r>
        <w:rPr>
          <w:spacing w:val="-3"/>
        </w:rPr>
        <w:t>Seebach </w:t>
      </w:r>
      <w:r>
        <w:rPr/>
        <w:t>National Manager Trade Services 29 April</w:t>
      </w:r>
      <w:r>
        <w:rPr>
          <w:spacing w:val="-5"/>
        </w:rPr>
        <w:t> </w:t>
      </w:r>
      <w:r>
        <w:rPr/>
        <w:t>2010</w:t>
      </w:r>
    </w:p>
    <w:p>
      <w:pPr>
        <w:spacing w:after="0"/>
        <w:sectPr>
          <w:type w:val="continuous"/>
          <w:pgSz w:w="11910" w:h="16840"/>
          <w:pgMar w:top="1120" w:bottom="280" w:left="180" w:right="160"/>
        </w:sectPr>
      </w:pPr>
    </w:p>
    <w:p>
      <w:pPr>
        <w:pStyle w:val="BodyText"/>
        <w:spacing w:before="74"/>
        <w:ind w:right="20"/>
        <w:jc w:val="center"/>
      </w:pPr>
      <w:r>
        <w:rPr>
          <w:w w:val="99"/>
        </w:rPr>
        <w:t>2</w:t>
      </w:r>
    </w:p>
    <w:p>
      <w:pPr>
        <w:pStyle w:val="BodyText"/>
        <w:spacing w:before="9"/>
        <w:rPr>
          <w:sz w:val="11"/>
        </w:rPr>
      </w:pPr>
    </w:p>
    <w:p>
      <w:pPr>
        <w:spacing w:before="93"/>
        <w:ind w:left="0" w:right="1539" w:firstLine="0"/>
        <w:jc w:val="right"/>
        <w:rPr>
          <w:b/>
          <w:sz w:val="20"/>
        </w:rPr>
      </w:pPr>
      <w:r>
        <w:rPr>
          <w:b/>
          <w:w w:val="95"/>
          <w:sz w:val="20"/>
          <w:u w:val="thick"/>
        </w:rPr>
        <w:t>Table</w:t>
      </w:r>
    </w:p>
    <w:p>
      <w:pPr>
        <w:pStyle w:val="BodyText"/>
        <w:rPr>
          <w:b/>
          <w:sz w:val="12"/>
        </w:rPr>
      </w:pPr>
    </w:p>
    <w:p>
      <w:pPr>
        <w:spacing w:before="92"/>
        <w:ind w:left="1521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Increased Rates of Customs Duty for Tobacco Products</w:t>
      </w:r>
    </w:p>
    <w:p>
      <w:pPr>
        <w:pStyle w:val="BodyText"/>
        <w:spacing w:before="8" w:after="1"/>
        <w:rPr>
          <w:b/>
        </w:rPr>
      </w:pPr>
    </w:p>
    <w:tbl>
      <w:tblPr>
        <w:tblW w:w="0" w:type="auto"/>
        <w:jc w:val="left"/>
        <w:tblInd w:w="1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3092"/>
      </w:tblGrid>
      <w:tr>
        <w:trPr>
          <w:trHeight w:val="572" w:hRule="atLeast"/>
        </w:trPr>
        <w:tc>
          <w:tcPr>
            <w:tcW w:w="1718" w:type="dxa"/>
          </w:tcPr>
          <w:p>
            <w:pPr>
              <w:pStyle w:val="TableParagraph"/>
              <w:ind w:right="197"/>
              <w:rPr>
                <w:sz w:val="20"/>
              </w:rPr>
            </w:pPr>
            <w:r>
              <w:rPr>
                <w:sz w:val="20"/>
                <w:u w:val="single"/>
              </w:rPr>
              <w:t>Customs Tariff</w:t>
            </w:r>
            <w:r>
              <w:rPr>
                <w:sz w:val="20"/>
              </w:rPr>
              <w:t> </w:t>
            </w:r>
            <w:r>
              <w:rPr>
                <w:sz w:val="20"/>
                <w:u w:val="single"/>
              </w:rPr>
              <w:t>Subheading</w:t>
            </w:r>
          </w:p>
        </w:tc>
        <w:tc>
          <w:tcPr>
            <w:tcW w:w="3092" w:type="dxa"/>
          </w:tcPr>
          <w:p>
            <w:pPr>
              <w:pStyle w:val="TableParagraph"/>
              <w:ind w:left="214" w:right="368"/>
              <w:rPr>
                <w:sz w:val="20"/>
              </w:rPr>
            </w:pPr>
            <w:r>
              <w:rPr>
                <w:sz w:val="20"/>
                <w:u w:val="single"/>
              </w:rPr>
              <w:t>New Rate of Duty Operative</w:t>
            </w:r>
            <w:r>
              <w:rPr>
                <w:sz w:val="20"/>
              </w:rPr>
              <w:t> </w:t>
            </w:r>
            <w:r>
              <w:rPr>
                <w:sz w:val="20"/>
                <w:u w:val="single"/>
              </w:rPr>
              <w:t>from 30 April 2010</w:t>
            </w:r>
          </w:p>
        </w:tc>
      </w:tr>
      <w:tr>
        <w:trPr>
          <w:trHeight w:val="459" w:hRule="atLeast"/>
        </w:trPr>
        <w:tc>
          <w:tcPr>
            <w:tcW w:w="1718" w:type="dxa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z w:val="20"/>
              </w:rPr>
              <w:t>2401.10.00</w:t>
            </w:r>
          </w:p>
        </w:tc>
        <w:tc>
          <w:tcPr>
            <w:tcW w:w="3092" w:type="dxa"/>
          </w:tcPr>
          <w:p>
            <w:pPr>
              <w:pStyle w:val="TableParagraph"/>
              <w:spacing w:before="112"/>
              <w:ind w:left="214"/>
              <w:rPr>
                <w:sz w:val="20"/>
              </w:rPr>
            </w:pPr>
            <w:r>
              <w:rPr>
                <w:sz w:val="20"/>
              </w:rPr>
              <w:t>$409.71/kg</w:t>
            </w:r>
          </w:p>
        </w:tc>
      </w:tr>
      <w:tr>
        <w:trPr>
          <w:trHeight w:val="344" w:hRule="atLeast"/>
        </w:trPr>
        <w:tc>
          <w:tcPr>
            <w:tcW w:w="1718" w:type="dxa"/>
          </w:tcPr>
          <w:p>
            <w:pPr>
              <w:pStyle w:val="TableParagraph"/>
              <w:spacing w:line="214" w:lineRule="exact" w:before="110"/>
              <w:rPr>
                <w:sz w:val="20"/>
              </w:rPr>
            </w:pPr>
            <w:r>
              <w:rPr>
                <w:sz w:val="20"/>
              </w:rPr>
              <w:t>2401.20.00</w:t>
            </w:r>
          </w:p>
        </w:tc>
        <w:tc>
          <w:tcPr>
            <w:tcW w:w="3092" w:type="dxa"/>
          </w:tcPr>
          <w:p>
            <w:pPr>
              <w:pStyle w:val="TableParagraph"/>
              <w:spacing w:line="214" w:lineRule="exact" w:before="110"/>
              <w:ind w:left="214"/>
              <w:rPr>
                <w:sz w:val="20"/>
              </w:rPr>
            </w:pPr>
            <w:r>
              <w:rPr>
                <w:sz w:val="20"/>
              </w:rPr>
              <w:t>$409.71/kg of tobacco content</w:t>
            </w:r>
          </w:p>
        </w:tc>
      </w:tr>
      <w:tr>
        <w:trPr>
          <w:trHeight w:val="230" w:hRule="atLeast"/>
        </w:trPr>
        <w:tc>
          <w:tcPr>
            <w:tcW w:w="171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2401.30.00</w:t>
            </w:r>
          </w:p>
        </w:tc>
        <w:tc>
          <w:tcPr>
            <w:tcW w:w="309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71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2402.10.80</w:t>
            </w:r>
          </w:p>
        </w:tc>
        <w:tc>
          <w:tcPr>
            <w:tcW w:w="309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71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2402.20.80</w:t>
            </w:r>
          </w:p>
        </w:tc>
        <w:tc>
          <w:tcPr>
            <w:tcW w:w="309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71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2403.10.70</w:t>
            </w:r>
          </w:p>
        </w:tc>
        <w:tc>
          <w:tcPr>
            <w:tcW w:w="309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1718" w:type="dxa"/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2403.91.00</w:t>
            </w:r>
          </w:p>
        </w:tc>
        <w:tc>
          <w:tcPr>
            <w:tcW w:w="309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4" w:hRule="atLeast"/>
        </w:trPr>
        <w:tc>
          <w:tcPr>
            <w:tcW w:w="1718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2403.99.80</w:t>
            </w:r>
          </w:p>
        </w:tc>
        <w:tc>
          <w:tcPr>
            <w:tcW w:w="309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1718" w:type="dxa"/>
          </w:tcPr>
          <w:p>
            <w:pPr>
              <w:pStyle w:val="TableParagraph"/>
              <w:spacing w:line="214" w:lineRule="exact" w:before="112"/>
              <w:rPr>
                <w:sz w:val="20"/>
              </w:rPr>
            </w:pPr>
            <w:r>
              <w:rPr>
                <w:sz w:val="20"/>
              </w:rPr>
              <w:t>2402.10.20</w:t>
            </w:r>
          </w:p>
        </w:tc>
        <w:tc>
          <w:tcPr>
            <w:tcW w:w="3092" w:type="dxa"/>
          </w:tcPr>
          <w:p>
            <w:pPr>
              <w:pStyle w:val="TableParagraph"/>
              <w:spacing w:line="214" w:lineRule="exact" w:before="112"/>
              <w:ind w:left="214"/>
              <w:rPr>
                <w:sz w:val="20"/>
              </w:rPr>
            </w:pPr>
            <w:r>
              <w:rPr>
                <w:sz w:val="20"/>
              </w:rPr>
              <w:t>$0.32775/stick</w:t>
            </w:r>
          </w:p>
        </w:tc>
      </w:tr>
      <w:tr>
        <w:trPr>
          <w:trHeight w:val="230" w:hRule="atLeast"/>
        </w:trPr>
        <w:tc>
          <w:tcPr>
            <w:tcW w:w="1718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2402.20.20</w:t>
            </w:r>
          </w:p>
        </w:tc>
        <w:tc>
          <w:tcPr>
            <w:tcW w:w="309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1718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2403.10.30</w:t>
            </w:r>
          </w:p>
        </w:tc>
        <w:tc>
          <w:tcPr>
            <w:tcW w:w="309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sectPr>
      <w:pgSz w:w="11910" w:h="16840"/>
      <w:pgMar w:top="10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22"/>
      <w:ind w:left="2708" w:right="2723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2020-12-09T22:39:20Z</dcterms:created>
  <dcterms:modified xsi:type="dcterms:W3CDTF">2020-12-09T22:39:20Z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