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6"/>
        <w:rPr>
          <w:rFonts w:ascii="Times New Roman"/>
          <w:sz w:val="18"/>
        </w:rPr>
      </w:pPr>
    </w:p>
    <w:p>
      <w:pPr>
        <w:pStyle w:val="Title"/>
        <w:spacing w:before="102"/>
      </w:pPr>
      <w:r>
        <w:rPr/>
        <w:t>AUSTRALIAN CUSTOMS NOTICE NO. 2010/30</w:t>
      </w:r>
    </w:p>
    <w:p>
      <w:pPr>
        <w:pStyle w:val="Title"/>
        <w:spacing w:line="230" w:lineRule="auto"/>
        <w:ind w:right="1867"/>
      </w:pPr>
      <w:r>
        <w:rPr/>
        <w:t>TRANSFER OF ADMINISTRATIVE RESPONSIBILITY FOR TABLET PRESSES</w:t>
      </w:r>
    </w:p>
    <w:p>
      <w:pPr>
        <w:pStyle w:val="BodyText"/>
        <w:spacing w:before="8"/>
        <w:rPr>
          <w:b/>
          <w:sz w:val="38"/>
        </w:rPr>
      </w:pPr>
    </w:p>
    <w:p>
      <w:pPr>
        <w:pStyle w:val="BodyText"/>
        <w:spacing w:line="235" w:lineRule="auto" w:before="1"/>
        <w:ind w:left="1521" w:right="1536"/>
      </w:pPr>
      <w:r>
        <w:rPr/>
        <w:t>From 1 July 2010, Customs and Border Protection will take over responsibility for administering the issuing of “Permission to Import” in relation to the importation of tablet presses.</w:t>
      </w:r>
    </w:p>
    <w:p>
      <w:pPr>
        <w:pStyle w:val="BodyText"/>
        <w:rPr>
          <w:sz w:val="19"/>
        </w:rPr>
      </w:pPr>
    </w:p>
    <w:p>
      <w:pPr>
        <w:pStyle w:val="BodyText"/>
        <w:spacing w:before="1"/>
        <w:ind w:left="1521"/>
      </w:pPr>
      <w:r>
        <w:rPr/>
        <w:t>The new arrangements will become effective immediately and periodic permits will be issued.</w:t>
      </w:r>
    </w:p>
    <w:p>
      <w:pPr>
        <w:pStyle w:val="BodyText"/>
        <w:spacing w:before="3"/>
        <w:rPr>
          <w:sz w:val="19"/>
        </w:rPr>
      </w:pPr>
    </w:p>
    <w:p>
      <w:pPr>
        <w:spacing w:line="235" w:lineRule="auto" w:before="0"/>
        <w:ind w:left="1521" w:right="1659" w:firstLine="0"/>
        <w:jc w:val="left"/>
        <w:rPr>
          <w:sz w:val="20"/>
        </w:rPr>
      </w:pPr>
      <w:r>
        <w:rPr>
          <w:sz w:val="20"/>
        </w:rPr>
        <w:t>The importation of tablet presses is controlled under Regulation 4G of the </w:t>
      </w:r>
      <w:r>
        <w:rPr>
          <w:i/>
          <w:sz w:val="20"/>
        </w:rPr>
        <w:t>Customs (Prohibited Imports) Regulations 1956 </w:t>
      </w:r>
      <w:r>
        <w:rPr>
          <w:sz w:val="20"/>
        </w:rPr>
        <w:t>(PI Regulations). The control came into effect on 1 March 2010.</w:t>
      </w:r>
    </w:p>
    <w:p>
      <w:pPr>
        <w:pStyle w:val="BodyText"/>
        <w:spacing w:before="7"/>
        <w:rPr>
          <w:sz w:val="19"/>
        </w:rPr>
      </w:pPr>
    </w:p>
    <w:p>
      <w:pPr>
        <w:pStyle w:val="BodyText"/>
        <w:spacing w:line="235" w:lineRule="auto" w:before="1"/>
        <w:ind w:left="1521" w:right="1536"/>
      </w:pPr>
      <w:r>
        <w:rPr/>
        <w:t>Tablet presses are defined as manual, semi-automatic or fully automatic equipment that can be used for the compaction or moulding of powdered or granular solids, or semi-solid material, to produce coherent solid tablets. The control does not include encapsulators or tablet press parts such as punches or dies.</w:t>
      </w:r>
    </w:p>
    <w:p>
      <w:pPr>
        <w:pStyle w:val="BodyText"/>
        <w:spacing w:before="7"/>
        <w:rPr>
          <w:sz w:val="19"/>
        </w:rPr>
      </w:pPr>
    </w:p>
    <w:p>
      <w:pPr>
        <w:pStyle w:val="BodyText"/>
        <w:spacing w:line="235" w:lineRule="auto"/>
        <w:ind w:left="1521" w:right="1536"/>
      </w:pPr>
      <w:r>
        <w:rPr/>
        <w:t>The Minister or authorised person may place conditions on an approval to import tablet presses. Conditions may include the length of time an approval is valid for and the number of tablet presses that can be imported under the approval.</w:t>
      </w:r>
    </w:p>
    <w:p>
      <w:pPr>
        <w:pStyle w:val="BodyText"/>
        <w:spacing w:before="5"/>
        <w:rPr>
          <w:sz w:val="19"/>
        </w:rPr>
      </w:pPr>
    </w:p>
    <w:p>
      <w:pPr>
        <w:pStyle w:val="BodyText"/>
        <w:spacing w:line="235" w:lineRule="auto"/>
        <w:ind w:left="1521" w:right="2014"/>
      </w:pPr>
      <w:r>
        <w:rPr/>
        <w:t>The Minister or an authorised person also has the power to revoke a permission where the holder does not comply with a condition or requirement.</w:t>
      </w:r>
    </w:p>
    <w:p>
      <w:pPr>
        <w:pStyle w:val="BodyText"/>
        <w:spacing w:before="4"/>
        <w:rPr>
          <w:sz w:val="19"/>
        </w:rPr>
      </w:pPr>
    </w:p>
    <w:p>
      <w:pPr>
        <w:pStyle w:val="BodyText"/>
        <w:spacing w:line="235" w:lineRule="auto" w:before="1"/>
        <w:ind w:left="1521" w:right="2015"/>
      </w:pPr>
      <w:r>
        <w:rPr/>
        <w:t>Permission to import tablet presses may be applied for in writing using the application form (B712) which can be found on the Customs and Border Protection website at </w:t>
      </w:r>
      <w:hyperlink r:id="rId6">
        <w:r>
          <w:rPr>
            <w:color w:val="0000FF"/>
            <w:u w:val="single" w:color="0000FF"/>
          </w:rPr>
          <w:t>http://www.customs.gov.au/site/page4288.asp</w:t>
        </w:r>
      </w:hyperlink>
    </w:p>
    <w:p>
      <w:pPr>
        <w:pStyle w:val="BodyText"/>
        <w:spacing w:before="9"/>
        <w:rPr>
          <w:sz w:val="13"/>
        </w:rPr>
      </w:pPr>
    </w:p>
    <w:p>
      <w:pPr>
        <w:pStyle w:val="BodyText"/>
        <w:spacing w:before="64"/>
        <w:ind w:left="1521"/>
      </w:pPr>
      <w:r>
        <w:rPr/>
        <w:t>The Attorney-General’s Department will retain policy responsibility for the control.</w:t>
      </w:r>
    </w:p>
    <w:p>
      <w:pPr>
        <w:pStyle w:val="BodyText"/>
        <w:spacing w:before="4"/>
        <w:rPr>
          <w:sz w:val="19"/>
        </w:rPr>
      </w:pPr>
    </w:p>
    <w:p>
      <w:pPr>
        <w:pStyle w:val="BodyText"/>
        <w:spacing w:line="235" w:lineRule="auto"/>
        <w:ind w:left="1521" w:right="1536"/>
      </w:pPr>
      <w:r>
        <w:rPr/>
        <w:t>Enquiries</w:t>
      </w:r>
      <w:r>
        <w:rPr>
          <w:spacing w:val="-3"/>
        </w:rPr>
        <w:t> </w:t>
      </w:r>
      <w:r>
        <w:rPr/>
        <w:t>regarding</w:t>
      </w:r>
      <w:r>
        <w:rPr>
          <w:spacing w:val="-4"/>
        </w:rPr>
        <w:t> </w:t>
      </w:r>
      <w:r>
        <w:rPr/>
        <w:t>the</w:t>
      </w:r>
      <w:r>
        <w:rPr>
          <w:spacing w:val="-3"/>
        </w:rPr>
        <w:t> </w:t>
      </w:r>
      <w:r>
        <w:rPr/>
        <w:t>policy</w:t>
      </w:r>
      <w:r>
        <w:rPr>
          <w:spacing w:val="-7"/>
        </w:rPr>
        <w:t> </w:t>
      </w:r>
      <w:r>
        <w:rPr/>
        <w:t>of</w:t>
      </w:r>
      <w:r>
        <w:rPr>
          <w:spacing w:val="-1"/>
        </w:rPr>
        <w:t> </w:t>
      </w:r>
      <w:r>
        <w:rPr/>
        <w:t>the</w:t>
      </w:r>
      <w:r>
        <w:rPr>
          <w:spacing w:val="-4"/>
        </w:rPr>
        <w:t> </w:t>
      </w:r>
      <w:r>
        <w:rPr/>
        <w:t>control</w:t>
      </w:r>
      <w:r>
        <w:rPr>
          <w:spacing w:val="-4"/>
        </w:rPr>
        <w:t> </w:t>
      </w:r>
      <w:r>
        <w:rPr>
          <w:spacing w:val="2"/>
        </w:rPr>
        <w:t>may</w:t>
      </w:r>
      <w:r>
        <w:rPr>
          <w:spacing w:val="-7"/>
        </w:rPr>
        <w:t> </w:t>
      </w:r>
      <w:r>
        <w:rPr/>
        <w:t>be</w:t>
      </w:r>
      <w:r>
        <w:rPr>
          <w:spacing w:val="-3"/>
        </w:rPr>
        <w:t> </w:t>
      </w:r>
      <w:r>
        <w:rPr/>
        <w:t>directed</w:t>
      </w:r>
      <w:r>
        <w:rPr>
          <w:spacing w:val="-4"/>
        </w:rPr>
        <w:t> </w:t>
      </w:r>
      <w:r>
        <w:rPr/>
        <w:t>to</w:t>
      </w:r>
      <w:r>
        <w:rPr>
          <w:spacing w:val="-4"/>
        </w:rPr>
        <w:t> </w:t>
      </w:r>
      <w:r>
        <w:rPr/>
        <w:t>Attorney-General’s</w:t>
      </w:r>
      <w:r>
        <w:rPr>
          <w:spacing w:val="-2"/>
        </w:rPr>
        <w:t> </w:t>
      </w:r>
      <w:r>
        <w:rPr/>
        <w:t>Department via email </w:t>
      </w:r>
      <w:hyperlink r:id="rId7">
        <w:r>
          <w:rPr>
            <w:color w:val="0000FF"/>
            <w:u w:val="single" w:color="0000FF"/>
          </w:rPr>
          <w:t>tabletpress@ag.gov.au</w:t>
        </w:r>
        <w:r>
          <w:rPr>
            <w:color w:val="0000FF"/>
          </w:rPr>
          <w:t> </w:t>
        </w:r>
      </w:hyperlink>
      <w:r>
        <w:rPr/>
        <w:t>or by telephone (02) 6141</w:t>
      </w:r>
      <w:r>
        <w:rPr>
          <w:spacing w:val="-7"/>
        </w:rPr>
        <w:t> </w:t>
      </w:r>
      <w:r>
        <w:rPr/>
        <w:t>2730.</w:t>
      </w:r>
    </w:p>
    <w:p>
      <w:pPr>
        <w:pStyle w:val="BodyText"/>
        <w:spacing w:before="7"/>
        <w:rPr>
          <w:sz w:val="19"/>
        </w:rPr>
      </w:pPr>
    </w:p>
    <w:p>
      <w:pPr>
        <w:pStyle w:val="BodyText"/>
        <w:spacing w:line="235" w:lineRule="auto"/>
        <w:ind w:left="1521" w:right="1801"/>
      </w:pPr>
      <w:r>
        <w:rPr/>
        <w:t>Enquiries regarding this notice or regarding permit issuing arrangement </w:t>
      </w:r>
      <w:r>
        <w:rPr>
          <w:spacing w:val="2"/>
        </w:rPr>
        <w:t>may </w:t>
      </w:r>
      <w:r>
        <w:rPr/>
        <w:t>be directed to </w:t>
      </w:r>
      <w:hyperlink r:id="rId8">
        <w:r>
          <w:rPr>
            <w:color w:val="0000FF"/>
            <w:u w:val="single" w:color="0000FF"/>
          </w:rPr>
          <w:t>community.protection@customs.gov.au</w:t>
        </w:r>
        <w:r>
          <w:rPr>
            <w:color w:val="0000FF"/>
          </w:rPr>
          <w:t> </w:t>
        </w:r>
      </w:hyperlink>
      <w:r>
        <w:rPr/>
        <w:t>or to the Manager, Community Protection Section on telephone number (02) 6275 5963 or fax number (02) 6229</w:t>
      </w:r>
      <w:r>
        <w:rPr>
          <w:spacing w:val="-5"/>
        </w:rPr>
        <w:t> </w:t>
      </w:r>
      <w:r>
        <w:rPr/>
        <w:t>3840.</w:t>
      </w:r>
    </w:p>
    <w:p>
      <w:pPr>
        <w:pStyle w:val="BodyText"/>
      </w:pPr>
    </w:p>
    <w:p>
      <w:pPr>
        <w:pStyle w:val="BodyText"/>
      </w:pPr>
    </w:p>
    <w:p>
      <w:pPr>
        <w:pStyle w:val="BodyText"/>
      </w:pPr>
    </w:p>
    <w:p>
      <w:pPr>
        <w:pStyle w:val="BodyText"/>
        <w:spacing w:before="11"/>
        <w:rPr>
          <w:sz w:val="17"/>
        </w:rPr>
      </w:pPr>
    </w:p>
    <w:p>
      <w:pPr>
        <w:pStyle w:val="BodyText"/>
        <w:spacing w:line="232" w:lineRule="exact"/>
        <w:ind w:left="1521"/>
      </w:pPr>
      <w:r>
        <w:rPr/>
        <w:t>Justin Wickes</w:t>
      </w:r>
    </w:p>
    <w:p>
      <w:pPr>
        <w:pStyle w:val="BodyText"/>
        <w:spacing w:line="229" w:lineRule="exact"/>
        <w:ind w:left="1521"/>
      </w:pPr>
      <w:r>
        <w:rPr/>
        <w:t>A/g National Manager</w:t>
      </w:r>
    </w:p>
    <w:p>
      <w:pPr>
        <w:pStyle w:val="BodyText"/>
        <w:spacing w:line="235" w:lineRule="auto" w:before="1"/>
        <w:ind w:left="1521" w:right="6817"/>
      </w:pPr>
      <w:r>
        <w:rPr/>
        <w:t>Trade Policy and Regulation Branch CANBERRA ACT</w:t>
      </w:r>
    </w:p>
    <w:p>
      <w:pPr>
        <w:pStyle w:val="BodyText"/>
        <w:spacing w:before="4"/>
        <w:rPr>
          <w:sz w:val="19"/>
        </w:rPr>
      </w:pPr>
    </w:p>
    <w:p>
      <w:pPr>
        <w:pStyle w:val="BodyText"/>
        <w:ind w:left="1687"/>
      </w:pPr>
      <w:r>
        <w:rPr/>
        <w:t>June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101"/>
      <w:ind w:left="1852" w:right="1866"/>
      <w:jc w:val="center"/>
    </w:pPr>
    <w:rPr>
      <w:rFonts w:ascii="Helvetica" w:hAnsi="Helvetica" w:eastAsia="Helvetica" w:cs="Helvetica"/>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4288.asp" TargetMode="External"/><Relationship Id="rId7" Type="http://schemas.openxmlformats.org/officeDocument/2006/relationships/hyperlink" Target="mailto:tabletpress@ag.gov.au" TargetMode="External"/><Relationship Id="rId8" Type="http://schemas.openxmlformats.org/officeDocument/2006/relationships/hyperlink" Target="mailto:community.protecti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c8tos</dc:creator>
  <dc:title>Microsoft Word - ACN2010-30ADMINISTRATIVERESPONSIBILITYFORTABLETPRESSES[1].doc</dc:title>
  <dcterms:created xsi:type="dcterms:W3CDTF">2020-12-09T22:48:04Z</dcterms:created>
  <dcterms:modified xsi:type="dcterms:W3CDTF">2020-12-09T22:48:04Z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2010-07-14T00:00:00Z</vt:filetime>
  </property>
  <property fmtid="{D5CDD505-2E9C-101B-9397-08002B2CF9AE}" pid="3" name="Creator">
    <vt:lpwstr>PScript5.dll Version 5.2.2</vt:lpwstr>
  </property>
  <property fmtid="{D5CDD505-2E9C-101B-9397-08002B2CF9AE}" pid="4" name="LastSaved">
    <vt:filetime>2020-12-09T00:00:00Z</vt:filetime>
  </property>
</Properties>
</file>