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2010/51</w:t>
      </w:r>
    </w:p>
    <w:p>
      <w:pPr>
        <w:pStyle w:val="BodyText"/>
        <w:spacing w:before="8"/>
        <w:rPr>
          <w:b/>
          <w:sz w:val="15"/>
        </w:rPr>
      </w:pPr>
    </w:p>
    <w:p>
      <w:pPr>
        <w:spacing w:before="55"/>
        <w:ind w:left="1521" w:right="0" w:firstLine="0"/>
        <w:jc w:val="left"/>
        <w:rPr>
          <w:b/>
          <w:sz w:val="24"/>
        </w:rPr>
      </w:pPr>
      <w:r>
        <w:rPr>
          <w:b/>
          <w:sz w:val="24"/>
        </w:rPr>
        <w:t>Tariff, duty rate and statistical code changes for 1 January 2011</w:t>
      </w:r>
    </w:p>
    <w:p>
      <w:pPr>
        <w:pStyle w:val="BodyText"/>
        <w:spacing w:before="8"/>
        <w:rPr>
          <w:b/>
          <w:sz w:val="22"/>
        </w:rPr>
      </w:pPr>
    </w:p>
    <w:p>
      <w:pPr>
        <w:pStyle w:val="BodyText"/>
        <w:spacing w:line="468" w:lineRule="auto"/>
        <w:ind w:left="1521" w:right="1837"/>
      </w:pPr>
      <w:r>
        <w:rPr/>
        <w:t>This Notice summarises tariff and statistical code changes that will occur on 1 January 2011. </w:t>
      </w:r>
      <w:r>
        <w:rPr>
          <w:u w:val="single"/>
        </w:rPr>
        <w:t>Reduction of duty rates under Free Trade Agreements</w:t>
      </w:r>
    </w:p>
    <w:p>
      <w:pPr>
        <w:pStyle w:val="BodyText"/>
        <w:spacing w:line="235" w:lineRule="auto" w:before="52"/>
        <w:ind w:left="1521" w:right="1698"/>
        <w:jc w:val="both"/>
      </w:pPr>
      <w:r>
        <w:rPr/>
        <w:t>Schedules 5 and 7 of the Customs Tariff Working Pages specify reduced duty rates for certain US and Chilean originating goods, including footwear from the US and Chilean grapes. These phasing rates apply to goods entered for home consumption on or after 1 January 2011.</w:t>
      </w:r>
    </w:p>
    <w:p>
      <w:pPr>
        <w:pStyle w:val="BodyText"/>
        <w:spacing w:before="1"/>
        <w:rPr>
          <w:sz w:val="19"/>
        </w:rPr>
      </w:pPr>
    </w:p>
    <w:p>
      <w:pPr>
        <w:pStyle w:val="BodyText"/>
        <w:spacing w:line="470" w:lineRule="auto"/>
        <w:ind w:left="1521" w:right="1902"/>
        <w:jc w:val="both"/>
      </w:pPr>
      <w:r>
        <w:rPr/>
        <w:t>The</w:t>
      </w:r>
      <w:r>
        <w:rPr>
          <w:spacing w:val="-4"/>
        </w:rPr>
        <w:t> </w:t>
      </w:r>
      <w:r>
        <w:rPr/>
        <w:t>Integrated</w:t>
      </w:r>
      <w:r>
        <w:rPr>
          <w:spacing w:val="-4"/>
        </w:rPr>
        <w:t> </w:t>
      </w:r>
      <w:r>
        <w:rPr/>
        <w:t>Cargo</w:t>
      </w:r>
      <w:r>
        <w:rPr>
          <w:spacing w:val="-1"/>
        </w:rPr>
        <w:t> </w:t>
      </w:r>
      <w:r>
        <w:rPr/>
        <w:t>System</w:t>
      </w:r>
      <w:r>
        <w:rPr>
          <w:spacing w:val="1"/>
        </w:rPr>
        <w:t> </w:t>
      </w:r>
      <w:r>
        <w:rPr/>
        <w:t>will</w:t>
      </w:r>
      <w:r>
        <w:rPr>
          <w:spacing w:val="-5"/>
        </w:rPr>
        <w:t> </w:t>
      </w:r>
      <w:r>
        <w:rPr/>
        <w:t>apply</w:t>
      </w:r>
      <w:r>
        <w:rPr>
          <w:spacing w:val="-6"/>
        </w:rPr>
        <w:t> </w:t>
      </w:r>
      <w:r>
        <w:rPr/>
        <w:t>these</w:t>
      </w:r>
      <w:r>
        <w:rPr>
          <w:spacing w:val="-2"/>
        </w:rPr>
        <w:t> </w:t>
      </w:r>
      <w:r>
        <w:rPr/>
        <w:t>duty</w:t>
      </w:r>
      <w:r>
        <w:rPr>
          <w:spacing w:val="-6"/>
        </w:rPr>
        <w:t> </w:t>
      </w:r>
      <w:r>
        <w:rPr/>
        <w:t>rates</w:t>
      </w:r>
      <w:r>
        <w:rPr>
          <w:spacing w:val="-3"/>
        </w:rPr>
        <w:t> </w:t>
      </w:r>
      <w:r>
        <w:rPr/>
        <w:t>automatically</w:t>
      </w:r>
      <w:r>
        <w:rPr>
          <w:spacing w:val="-7"/>
        </w:rPr>
        <w:t> </w:t>
      </w:r>
      <w:r>
        <w:rPr/>
        <w:t>from</w:t>
      </w:r>
      <w:r>
        <w:rPr>
          <w:spacing w:val="2"/>
        </w:rPr>
        <w:t> </w:t>
      </w:r>
      <w:r>
        <w:rPr/>
        <w:t>1</w:t>
      </w:r>
      <w:r>
        <w:rPr>
          <w:spacing w:val="-4"/>
        </w:rPr>
        <w:t> </w:t>
      </w:r>
      <w:r>
        <w:rPr/>
        <w:t>January</w:t>
      </w:r>
      <w:r>
        <w:rPr>
          <w:spacing w:val="-5"/>
        </w:rPr>
        <w:t> </w:t>
      </w:r>
      <w:r>
        <w:rPr/>
        <w:t>2011. </w:t>
      </w:r>
      <w:r>
        <w:rPr>
          <w:u w:val="single"/>
        </w:rPr>
        <w:t>Supplementary Page for Schedule 1, listing the ASEAN Member</w:t>
      </w:r>
      <w:r>
        <w:rPr>
          <w:spacing w:val="-10"/>
          <w:u w:val="single"/>
        </w:rPr>
        <w:t> </w:t>
      </w:r>
      <w:r>
        <w:rPr>
          <w:u w:val="single"/>
        </w:rPr>
        <w:t>States</w:t>
      </w:r>
    </w:p>
    <w:p>
      <w:pPr>
        <w:pStyle w:val="BodyText"/>
        <w:spacing w:line="235" w:lineRule="auto" w:before="4"/>
        <w:ind w:left="1521" w:right="1667"/>
      </w:pPr>
      <w:r>
        <w:rPr/>
        <w:t>Customs and Border Protection will publish the Supplementary Page for Schedule 1, listing the ASEAN Member States and the dates for which the Agreement Establishing the ASEAN- Australia-New Zealand Free Trade Area (AANZFTA) entered into force for those Member States. This page will advise that AANZFTA will enter into force on 1 January 2011 for Laos and on 4 January 2011 for Cambodia.</w:t>
      </w:r>
    </w:p>
    <w:p>
      <w:pPr>
        <w:pStyle w:val="BodyText"/>
        <w:spacing w:before="7"/>
        <w:rPr>
          <w:sz w:val="19"/>
        </w:rPr>
      </w:pPr>
    </w:p>
    <w:p>
      <w:pPr>
        <w:pStyle w:val="BodyText"/>
        <w:spacing w:line="232" w:lineRule="auto"/>
        <w:ind w:left="1521" w:right="1692"/>
      </w:pPr>
      <w:r>
        <w:rPr/>
        <w:t>Australian Customs and Border Protection Notice 2010/52 provides further details on the entry into force of AANZFTA for Laos and Cambodia.</w:t>
      </w:r>
    </w:p>
    <w:p>
      <w:pPr>
        <w:pStyle w:val="BodyText"/>
        <w:spacing w:before="3"/>
        <w:rPr>
          <w:sz w:val="19"/>
        </w:rPr>
      </w:pPr>
    </w:p>
    <w:p>
      <w:pPr>
        <w:pStyle w:val="BodyText"/>
        <w:spacing w:before="1"/>
        <w:ind w:left="1521"/>
      </w:pPr>
      <w:r>
        <w:rPr>
          <w:u w:val="single"/>
        </w:rPr>
        <w:t>Statistical Code changes</w:t>
      </w:r>
    </w:p>
    <w:p>
      <w:pPr>
        <w:pStyle w:val="BodyText"/>
        <w:spacing w:before="9"/>
        <w:rPr>
          <w:sz w:val="13"/>
        </w:rPr>
      </w:pPr>
    </w:p>
    <w:p>
      <w:pPr>
        <w:pStyle w:val="BodyText"/>
        <w:spacing w:line="235" w:lineRule="auto" w:before="67"/>
        <w:ind w:left="1521" w:right="1937"/>
      </w:pPr>
      <w:r>
        <w:rPr/>
        <w:t>The Australian Bureau of Statistics has advised changes to statistical codes in the Customs Tariff Working Pages for imports, from 1 January 2011, for tariff subheadings 2903.59.00, 2908.19.00, 2908.99.00, 2910.90.00, 2930.90.00, 2934.99.00, 3808.91.90, 3808.92.00,</w:t>
      </w:r>
    </w:p>
    <w:p>
      <w:pPr>
        <w:pStyle w:val="BodyText"/>
        <w:spacing w:line="229" w:lineRule="exact"/>
        <w:ind w:left="1521"/>
      </w:pPr>
      <w:r>
        <w:rPr/>
        <w:t>3808.93.00, and 3808.99.00.</w:t>
      </w:r>
    </w:p>
    <w:p>
      <w:pPr>
        <w:pStyle w:val="BodyText"/>
        <w:spacing w:before="6"/>
        <w:rPr>
          <w:sz w:val="19"/>
        </w:rPr>
      </w:pPr>
    </w:p>
    <w:p>
      <w:pPr>
        <w:pStyle w:val="BodyText"/>
        <w:spacing w:line="235" w:lineRule="auto" w:before="1"/>
        <w:ind w:left="1521" w:right="1608"/>
      </w:pPr>
      <w:r>
        <w:rPr/>
        <w:t>The changes to the statistical codes enable monitoring of hazardous chemicals and pesticides under the Stockholm and Rotterdam Conventions.</w:t>
      </w:r>
    </w:p>
    <w:p>
      <w:pPr>
        <w:pStyle w:val="BodyText"/>
        <w:spacing w:before="4"/>
        <w:rPr>
          <w:sz w:val="19"/>
        </w:rPr>
      </w:pPr>
    </w:p>
    <w:p>
      <w:pPr>
        <w:pStyle w:val="BodyText"/>
        <w:spacing w:line="235" w:lineRule="auto"/>
        <w:ind w:left="1521" w:right="1870"/>
      </w:pPr>
      <w:r>
        <w:rPr/>
        <w:t>The ABS will make corresponding changes to the Australian Harmonized Export Commodity Classification. Australian Customs Border Protection Notice 2010/53 refers.</w:t>
      </w:r>
    </w:p>
    <w:p>
      <w:pPr>
        <w:pStyle w:val="BodyText"/>
        <w:spacing w:before="7"/>
        <w:rPr>
          <w:sz w:val="19"/>
        </w:rPr>
      </w:pPr>
    </w:p>
    <w:p>
      <w:pPr>
        <w:pStyle w:val="BodyText"/>
        <w:spacing w:line="235" w:lineRule="auto" w:before="1"/>
        <w:ind w:left="1521" w:right="1558"/>
      </w:pPr>
      <w:r>
        <w:rPr/>
        <w:t>In subheadings where statistical codes have changed, some existing statistical codes will cease to operate from 1 January 2011.</w:t>
      </w:r>
    </w:p>
    <w:p>
      <w:pPr>
        <w:spacing w:after="0" w:line="235" w:lineRule="auto"/>
        <w:sectPr>
          <w:type w:val="continuous"/>
          <w:pgSz w:w="11900" w:h="16840"/>
          <w:pgMar w:top="1140" w:bottom="280" w:left="180" w:right="160"/>
        </w:sectPr>
      </w:pPr>
    </w:p>
    <w:p>
      <w:pPr>
        <w:pStyle w:val="BodyText"/>
        <w:spacing w:before="38"/>
        <w:ind w:left="1521"/>
      </w:pPr>
      <w:r>
        <w:rPr>
          <w:u w:val="single"/>
        </w:rPr>
        <w:t>Tariff reprint pages</w:t>
      </w:r>
    </w:p>
    <w:p>
      <w:pPr>
        <w:pStyle w:val="BodyText"/>
        <w:spacing w:before="9"/>
        <w:rPr>
          <w:sz w:val="13"/>
        </w:rPr>
      </w:pPr>
    </w:p>
    <w:p>
      <w:pPr>
        <w:pStyle w:val="BodyText"/>
        <w:spacing w:before="64"/>
        <w:ind w:left="1521"/>
      </w:pPr>
      <w:r>
        <w:rPr>
          <w:u w:val="single"/>
        </w:rPr>
        <w:t>Schedule 1 (Supplementary Page)</w:t>
      </w:r>
    </w:p>
    <w:p>
      <w:pPr>
        <w:pStyle w:val="BodyText"/>
        <w:spacing w:before="7"/>
        <w:rPr>
          <w:sz w:val="17"/>
        </w:rPr>
      </w:pPr>
    </w:p>
    <w:p>
      <w:pPr>
        <w:pStyle w:val="BodyText"/>
        <w:spacing w:before="64"/>
        <w:ind w:left="1521"/>
      </w:pPr>
      <w:r>
        <w:rPr/>
        <w:t>Sch 1/6 (R.4)</w:t>
      </w:r>
    </w:p>
    <w:p>
      <w:pPr>
        <w:pStyle w:val="BodyText"/>
        <w:rPr>
          <w:sz w:val="19"/>
        </w:rPr>
      </w:pPr>
    </w:p>
    <w:p>
      <w:pPr>
        <w:pStyle w:val="BodyText"/>
        <w:ind w:left="1521"/>
      </w:pPr>
      <w:r>
        <w:rPr>
          <w:u w:val="single"/>
        </w:rPr>
        <w:t>Schedule 3 (statistical code changes)</w:t>
      </w:r>
    </w:p>
    <w:p>
      <w:pPr>
        <w:pStyle w:val="BodyText"/>
        <w:spacing w:before="3"/>
        <w:rPr>
          <w:sz w:val="22"/>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2199"/>
        <w:gridCol w:w="2200"/>
        <w:gridCol w:w="1648"/>
      </w:tblGrid>
      <w:tr>
        <w:trPr>
          <w:trHeight w:val="214" w:hRule="atLeast"/>
        </w:trPr>
        <w:tc>
          <w:tcPr>
            <w:tcW w:w="1647" w:type="dxa"/>
          </w:tcPr>
          <w:p>
            <w:pPr>
              <w:pStyle w:val="TableParagraph"/>
              <w:rPr>
                <w:sz w:val="20"/>
              </w:rPr>
            </w:pPr>
            <w:r>
              <w:rPr>
                <w:sz w:val="20"/>
              </w:rPr>
              <w:t>29/9 (R.11)</w:t>
            </w:r>
          </w:p>
        </w:tc>
        <w:tc>
          <w:tcPr>
            <w:tcW w:w="2199" w:type="dxa"/>
          </w:tcPr>
          <w:p>
            <w:pPr>
              <w:pStyle w:val="TableParagraph"/>
              <w:ind w:left="578" w:right="579"/>
              <w:jc w:val="center"/>
              <w:rPr>
                <w:sz w:val="20"/>
              </w:rPr>
            </w:pPr>
            <w:r>
              <w:rPr>
                <w:sz w:val="20"/>
              </w:rPr>
              <w:t>29/13 (R.5)</w:t>
            </w:r>
          </w:p>
        </w:tc>
        <w:tc>
          <w:tcPr>
            <w:tcW w:w="2200" w:type="dxa"/>
          </w:tcPr>
          <w:p>
            <w:pPr>
              <w:pStyle w:val="TableParagraph"/>
              <w:ind w:left="579" w:right="579"/>
              <w:jc w:val="center"/>
              <w:rPr>
                <w:sz w:val="20"/>
              </w:rPr>
            </w:pPr>
            <w:r>
              <w:rPr>
                <w:sz w:val="20"/>
              </w:rPr>
              <w:t>29/15 (R.7)</w:t>
            </w:r>
          </w:p>
        </w:tc>
        <w:tc>
          <w:tcPr>
            <w:tcW w:w="1648" w:type="dxa"/>
          </w:tcPr>
          <w:p>
            <w:pPr>
              <w:pStyle w:val="TableParagraph"/>
              <w:ind w:left="599"/>
              <w:rPr>
                <w:sz w:val="20"/>
              </w:rPr>
            </w:pPr>
            <w:r>
              <w:rPr>
                <w:sz w:val="20"/>
              </w:rPr>
              <w:t>29/27 (R.8)</w:t>
            </w:r>
          </w:p>
        </w:tc>
      </w:tr>
      <w:tr>
        <w:trPr>
          <w:trHeight w:val="214" w:hRule="atLeast"/>
        </w:trPr>
        <w:tc>
          <w:tcPr>
            <w:tcW w:w="1647" w:type="dxa"/>
          </w:tcPr>
          <w:p>
            <w:pPr>
              <w:pStyle w:val="TableParagraph"/>
              <w:rPr>
                <w:sz w:val="20"/>
              </w:rPr>
            </w:pPr>
            <w:r>
              <w:rPr>
                <w:sz w:val="20"/>
              </w:rPr>
              <w:t>29/33 (R.4)</w:t>
            </w:r>
          </w:p>
        </w:tc>
        <w:tc>
          <w:tcPr>
            <w:tcW w:w="2199" w:type="dxa"/>
          </w:tcPr>
          <w:p>
            <w:pPr>
              <w:pStyle w:val="TableParagraph"/>
              <w:ind w:left="578" w:right="579"/>
              <w:jc w:val="center"/>
              <w:rPr>
                <w:sz w:val="20"/>
              </w:rPr>
            </w:pPr>
            <w:r>
              <w:rPr>
                <w:sz w:val="20"/>
              </w:rPr>
              <w:t>38/7 (R.17)</w:t>
            </w:r>
          </w:p>
        </w:tc>
        <w:tc>
          <w:tcPr>
            <w:tcW w:w="2200" w:type="dxa"/>
          </w:tcPr>
          <w:p>
            <w:pPr>
              <w:pStyle w:val="TableParagraph"/>
              <w:ind w:left="579" w:right="579"/>
              <w:jc w:val="center"/>
              <w:rPr>
                <w:sz w:val="20"/>
              </w:rPr>
            </w:pPr>
            <w:r>
              <w:rPr>
                <w:sz w:val="20"/>
              </w:rPr>
              <w:t>38/9 (R.12)</w:t>
            </w:r>
          </w:p>
        </w:tc>
        <w:tc>
          <w:tcPr>
            <w:tcW w:w="1648" w:type="dxa"/>
          </w:tcPr>
          <w:p>
            <w:pPr>
              <w:pStyle w:val="TableParagraph"/>
              <w:spacing w:line="240" w:lineRule="auto"/>
              <w:ind w:left="0"/>
              <w:rPr>
                <w:rFonts w:ascii="Times New Roman"/>
                <w:sz w:val="14"/>
              </w:rPr>
            </w:pPr>
          </w:p>
        </w:tc>
      </w:tr>
    </w:tbl>
    <w:p>
      <w:pPr>
        <w:pStyle w:val="BodyText"/>
        <w:rPr>
          <w:sz w:val="23"/>
        </w:rPr>
      </w:pPr>
    </w:p>
    <w:p>
      <w:pPr>
        <w:pStyle w:val="BodyText"/>
        <w:ind w:left="1521"/>
      </w:pPr>
      <w:r>
        <w:rPr>
          <w:u w:val="single"/>
        </w:rPr>
        <w:t>Schedule 6 (error correction)</w:t>
      </w:r>
    </w:p>
    <w:p>
      <w:pPr>
        <w:pStyle w:val="BodyText"/>
        <w:spacing w:before="8"/>
        <w:rPr>
          <w:sz w:val="17"/>
        </w:rPr>
      </w:pPr>
    </w:p>
    <w:p>
      <w:pPr>
        <w:pStyle w:val="BodyText"/>
        <w:spacing w:before="64"/>
        <w:ind w:left="1521"/>
      </w:pPr>
      <w:r>
        <w:rPr/>
        <w:t>Sch 6/77 (R.2)</w:t>
      </w:r>
    </w:p>
    <w:p>
      <w:pPr>
        <w:pStyle w:val="BodyText"/>
        <w:rPr>
          <w:sz w:val="19"/>
        </w:rPr>
      </w:pPr>
    </w:p>
    <w:p>
      <w:pPr>
        <w:pStyle w:val="BodyText"/>
        <w:ind w:left="1521"/>
      </w:pPr>
      <w:r>
        <w:rPr/>
        <w:t>This page contains a minor correction to item 1150.</w:t>
      </w:r>
    </w:p>
    <w:p>
      <w:pPr>
        <w:pStyle w:val="BodyText"/>
        <w:spacing w:before="6"/>
        <w:rPr>
          <w:sz w:val="19"/>
        </w:rPr>
      </w:pPr>
    </w:p>
    <w:p>
      <w:pPr>
        <w:pStyle w:val="BodyText"/>
        <w:spacing w:line="235" w:lineRule="auto"/>
        <w:ind w:left="1521" w:right="2081"/>
      </w:pPr>
      <w:r>
        <w:rPr/>
        <w:t>The above tariff reprint pages will also be available on the Australian Customs and Border Protection Service website, from 20 December 2010. The website address is: </w:t>
      </w:r>
      <w:hyperlink r:id="rId6">
        <w:r>
          <w:rPr>
            <w:color w:val="0000FF"/>
            <w:u w:val="single" w:color="0000FF"/>
          </w:rPr>
          <w:t>www.customs.gov.au</w:t>
        </w:r>
      </w:hyperlink>
    </w:p>
    <w:p>
      <w:pPr>
        <w:pStyle w:val="BodyText"/>
        <w:spacing w:before="8"/>
        <w:rPr>
          <w:sz w:val="13"/>
        </w:rPr>
      </w:pPr>
    </w:p>
    <w:p>
      <w:pPr>
        <w:pStyle w:val="BodyText"/>
        <w:spacing w:before="64"/>
        <w:ind w:left="1521"/>
      </w:pPr>
      <w:r>
        <w:rPr/>
        <w:t>From that homepage, please select links in the following order:</w:t>
      </w:r>
    </w:p>
    <w:p>
      <w:pPr>
        <w:pStyle w:val="BodyText"/>
        <w:spacing w:before="2"/>
        <w:rPr>
          <w:sz w:val="19"/>
        </w:rPr>
      </w:pPr>
    </w:p>
    <w:p>
      <w:pPr>
        <w:pStyle w:val="ListParagraph"/>
        <w:numPr>
          <w:ilvl w:val="0"/>
          <w:numId w:val="1"/>
        </w:numPr>
        <w:tabs>
          <w:tab w:pos="2242" w:val="left" w:leader="none"/>
        </w:tabs>
        <w:spacing w:line="233" w:lineRule="exact" w:before="0" w:after="0"/>
        <w:ind w:left="2241" w:right="0" w:hanging="361"/>
        <w:jc w:val="left"/>
        <w:rPr>
          <w:sz w:val="20"/>
        </w:rPr>
      </w:pPr>
      <w:r>
        <w:rPr>
          <w:sz w:val="20"/>
        </w:rPr>
        <w:t>import</w:t>
      </w:r>
      <w:r>
        <w:rPr>
          <w:spacing w:val="-8"/>
          <w:sz w:val="20"/>
        </w:rPr>
        <w:t> </w:t>
      </w:r>
      <w:r>
        <w:rPr>
          <w:sz w:val="20"/>
        </w:rPr>
        <w:t>export</w:t>
      </w:r>
    </w:p>
    <w:p>
      <w:pPr>
        <w:pStyle w:val="ListParagraph"/>
        <w:numPr>
          <w:ilvl w:val="0"/>
          <w:numId w:val="1"/>
        </w:numPr>
        <w:tabs>
          <w:tab w:pos="2242" w:val="left" w:leader="none"/>
        </w:tabs>
        <w:spacing w:line="229" w:lineRule="exact" w:before="0" w:after="0"/>
        <w:ind w:left="2241" w:right="0" w:hanging="361"/>
        <w:jc w:val="left"/>
        <w:rPr>
          <w:sz w:val="20"/>
        </w:rPr>
      </w:pPr>
      <w:r>
        <w:rPr>
          <w:sz w:val="20"/>
        </w:rPr>
        <w:t>customs</w:t>
      </w:r>
      <w:r>
        <w:rPr>
          <w:spacing w:val="-6"/>
          <w:sz w:val="20"/>
        </w:rPr>
        <w:t> </w:t>
      </w:r>
      <w:r>
        <w:rPr>
          <w:sz w:val="20"/>
        </w:rPr>
        <w:t>tariff</w:t>
      </w:r>
    </w:p>
    <w:p>
      <w:pPr>
        <w:pStyle w:val="ListParagraph"/>
        <w:numPr>
          <w:ilvl w:val="0"/>
          <w:numId w:val="1"/>
        </w:numPr>
        <w:tabs>
          <w:tab w:pos="2242" w:val="left" w:leader="none"/>
        </w:tabs>
        <w:spacing w:line="232" w:lineRule="exact" w:before="0" w:after="0"/>
        <w:ind w:left="2241" w:right="0" w:hanging="361"/>
        <w:jc w:val="left"/>
        <w:rPr>
          <w:sz w:val="20"/>
        </w:rPr>
      </w:pPr>
      <w:r>
        <w:rPr>
          <w:sz w:val="20"/>
        </w:rPr>
        <w:t>working tariff</w:t>
      </w:r>
      <w:r>
        <w:rPr>
          <w:spacing w:val="-1"/>
          <w:sz w:val="20"/>
        </w:rPr>
        <w:t> </w:t>
      </w:r>
      <w:r>
        <w:rPr>
          <w:sz w:val="20"/>
        </w:rPr>
        <w:t>page</w:t>
      </w:r>
    </w:p>
    <w:p>
      <w:pPr>
        <w:pStyle w:val="BodyText"/>
        <w:spacing w:before="6"/>
        <w:rPr>
          <w:sz w:val="19"/>
        </w:rPr>
      </w:pPr>
    </w:p>
    <w:p>
      <w:pPr>
        <w:pStyle w:val="BodyText"/>
        <w:spacing w:line="235" w:lineRule="auto"/>
        <w:ind w:left="1521" w:right="5661"/>
      </w:pPr>
      <w:r>
        <w:rPr/>
        <w:t>Alternatively, you could click on the following link: </w:t>
      </w:r>
      <w:hyperlink r:id="rId7">
        <w:r>
          <w:rPr>
            <w:color w:val="0000FF"/>
            <w:u w:val="single" w:color="0000FF"/>
          </w:rPr>
          <w:t>http://www.customs.gov.au/site/page5663.asp</w:t>
        </w:r>
        <w:r>
          <w:rPr/>
          <w:t>.</w:t>
        </w:r>
      </w:hyperlink>
    </w:p>
    <w:p>
      <w:pPr>
        <w:pStyle w:val="BodyText"/>
        <w:spacing w:before="4"/>
        <w:rPr>
          <w:sz w:val="19"/>
        </w:rPr>
      </w:pPr>
    </w:p>
    <w:p>
      <w:pPr>
        <w:pStyle w:val="BodyText"/>
        <w:ind w:left="1521"/>
      </w:pPr>
      <w:r>
        <w:rPr>
          <w:u w:val="single"/>
        </w:rPr>
        <w:t>Further Information</w:t>
      </w:r>
    </w:p>
    <w:p>
      <w:pPr>
        <w:pStyle w:val="BodyText"/>
        <w:spacing w:before="6"/>
        <w:rPr>
          <w:sz w:val="13"/>
        </w:rPr>
      </w:pPr>
    </w:p>
    <w:p>
      <w:pPr>
        <w:pStyle w:val="BodyText"/>
        <w:spacing w:line="235" w:lineRule="auto" w:before="68"/>
        <w:ind w:left="1521" w:right="1548"/>
      </w:pPr>
      <w:r>
        <w:rPr/>
        <w:t>If Customs and Border Protection clients receive error messages in the ICS when accessing the statistical codes, they should contact Customs Systems Support, either by email at </w:t>
      </w:r>
      <w:hyperlink r:id="rId8">
        <w:r>
          <w:rPr/>
          <w:t>cargosupport@customs.gov.au </w:t>
        </w:r>
      </w:hyperlink>
      <w:r>
        <w:rPr/>
        <w:t>or by phone on 1300 558 099.</w:t>
      </w:r>
    </w:p>
    <w:p>
      <w:pPr>
        <w:pStyle w:val="BodyText"/>
        <w:spacing w:before="9"/>
        <w:rPr>
          <w:sz w:val="19"/>
        </w:rPr>
      </w:pPr>
    </w:p>
    <w:p>
      <w:pPr>
        <w:pStyle w:val="BodyText"/>
        <w:spacing w:line="232" w:lineRule="auto"/>
        <w:ind w:left="1521" w:right="1791"/>
      </w:pPr>
      <w:r>
        <w:rPr/>
        <w:t>For further information about these changes, contact Manager Tariff Legislation on telephone number 02 6275 6542.</w:t>
      </w:r>
    </w:p>
    <w:p>
      <w:pPr>
        <w:pStyle w:val="BodyText"/>
      </w:pPr>
    </w:p>
    <w:p>
      <w:pPr>
        <w:pStyle w:val="BodyText"/>
      </w:pPr>
    </w:p>
    <w:p>
      <w:pPr>
        <w:pStyle w:val="BodyText"/>
      </w:pPr>
    </w:p>
    <w:p>
      <w:pPr>
        <w:pStyle w:val="BodyText"/>
      </w:pPr>
    </w:p>
    <w:p>
      <w:pPr>
        <w:pStyle w:val="BodyText"/>
      </w:pPr>
    </w:p>
    <w:p>
      <w:pPr>
        <w:pStyle w:val="BodyText"/>
        <w:spacing w:before="6"/>
        <w:rPr>
          <w:sz w:val="17"/>
        </w:rPr>
      </w:pPr>
    </w:p>
    <w:p>
      <w:pPr>
        <w:pStyle w:val="BodyText"/>
        <w:spacing w:line="235" w:lineRule="auto"/>
        <w:ind w:left="1521" w:right="7984"/>
      </w:pPr>
      <w:r>
        <w:rPr/>
        <w:t>Anthony Seebach National Manager Trade Services Branch 14 December 2010</w:t>
      </w:r>
    </w:p>
    <w:sectPr>
      <w:pgSz w:w="11900" w:h="16840"/>
      <w:pgMar w:top="13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241" w:hanging="360"/>
        <w:jc w:val="left"/>
      </w:pPr>
      <w:rPr>
        <w:rFonts w:hint="default" w:ascii="Helvetica" w:hAnsi="Helvetica" w:eastAsia="Helvetica" w:cs="Helvetica"/>
        <w:spacing w:val="-1"/>
        <w:w w:val="99"/>
        <w:sz w:val="20"/>
        <w:szCs w:val="20"/>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6"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7832" w:hanging="360"/>
      </w:pPr>
      <w:rPr>
        <w:rFonts w:hint="default"/>
      </w:rPr>
    </w:lvl>
    <w:lvl w:ilvl="7">
      <w:start w:val="0"/>
      <w:numFmt w:val="bullet"/>
      <w:lvlText w:val="•"/>
      <w:lvlJc w:val="left"/>
      <w:pPr>
        <w:ind w:left="8764" w:hanging="360"/>
      </w:pPr>
      <w:rPr>
        <w:rFonts w:hint="default"/>
      </w:rPr>
    </w:lvl>
    <w:lvl w:ilvl="8">
      <w:start w:val="0"/>
      <w:numFmt w:val="bullet"/>
      <w:lvlText w:val="•"/>
      <w:lvlJc w:val="left"/>
      <w:pPr>
        <w:ind w:left="96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88"/>
      <w:ind w:left="4977" w:right="1608" w:hanging="3368"/>
    </w:pPr>
    <w:rPr>
      <w:rFonts w:ascii="Helvetica" w:hAnsi="Helvetica" w:eastAsia="Helvetica" w:cs="Helvetica"/>
      <w:b/>
      <w:bCs/>
      <w:sz w:val="28"/>
      <w:szCs w:val="28"/>
    </w:rPr>
  </w:style>
  <w:style w:styleId="ListParagraph" w:type="paragraph">
    <w:name w:val="List Paragraph"/>
    <w:basedOn w:val="Normal"/>
    <w:uiPriority w:val="1"/>
    <w:qFormat/>
    <w:pPr>
      <w:spacing w:line="229" w:lineRule="exact"/>
      <w:ind w:left="2241" w:hanging="361"/>
    </w:pPr>
    <w:rPr>
      <w:rFonts w:ascii="Helvetica" w:hAnsi="Helvetica" w:eastAsia="Helvetica" w:cs="Helvetica"/>
    </w:rPr>
  </w:style>
  <w:style w:styleId="TableParagraph" w:type="paragraph">
    <w:name w:val="Table Paragraph"/>
    <w:basedOn w:val="Normal"/>
    <w:uiPriority w:val="1"/>
    <w:qFormat/>
    <w:pPr>
      <w:spacing w:line="195" w:lineRule="exact"/>
      <w:ind w:left="50"/>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http://www.customs.gov.au/site/page5663.asp" TargetMode="External"/><Relationship Id="rId8" Type="http://schemas.openxmlformats.org/officeDocument/2006/relationships/hyperlink" Target="mailto:cargosupport@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Tariff Changes for January 2011.doc</dc:title>
  <dcterms:created xsi:type="dcterms:W3CDTF">2020-12-09T22:30:42Z</dcterms:created>
  <dcterms:modified xsi:type="dcterms:W3CDTF">2020-12-09T22:30:42Z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2010-12-15T00:00:00Z</vt:filetime>
  </property>
  <property fmtid="{D5CDD505-2E9C-101B-9397-08002B2CF9AE}" pid="3" name="Creator">
    <vt:lpwstr>PScript5.dll Version 5.2.2</vt:lpwstr>
  </property>
  <property fmtid="{D5CDD505-2E9C-101B-9397-08002B2CF9AE}" pid="4" name="LastSaved">
    <vt:filetime>2020-12-09T00:00:00Z</vt:filetime>
  </property>
</Properties>
</file>