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2011/02</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36"/>
      </w:pPr>
      <w:r>
        <w:rPr/>
        <w:t>The following company and persons have each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0"/>
        <w:gridCol w:w="3031"/>
      </w:tblGrid>
      <w:tr>
        <w:trPr>
          <w:trHeight w:val="589" w:hRule="atLeast"/>
        </w:trPr>
        <w:tc>
          <w:tcPr>
            <w:tcW w:w="2880" w:type="dxa"/>
            <w:tcBorders>
              <w:bottom w:val="nil"/>
            </w:tcBorders>
          </w:tcPr>
          <w:p>
            <w:pPr>
              <w:pStyle w:val="TableParagraph"/>
              <w:spacing w:before="9"/>
              <w:ind w:left="0"/>
              <w:rPr>
                <w:sz w:val="18"/>
              </w:rPr>
            </w:pPr>
          </w:p>
          <w:p>
            <w:pPr>
              <w:pStyle w:val="TableParagraph"/>
              <w:rPr>
                <w:b/>
                <w:sz w:val="20"/>
              </w:rPr>
            </w:pPr>
            <w:r>
              <w:rPr>
                <w:b/>
                <w:sz w:val="20"/>
                <w:u w:val="thick"/>
              </w:rPr>
              <w:t>COMPANY</w:t>
            </w:r>
          </w:p>
        </w:tc>
        <w:tc>
          <w:tcPr>
            <w:tcW w:w="2880" w:type="dxa"/>
            <w:tcBorders>
              <w:bottom w:val="nil"/>
            </w:tcBorders>
          </w:tcPr>
          <w:p>
            <w:pPr>
              <w:pStyle w:val="TableParagraph"/>
              <w:spacing w:before="9"/>
              <w:ind w:left="0"/>
              <w:rPr>
                <w:sz w:val="18"/>
              </w:rPr>
            </w:pPr>
          </w:p>
          <w:p>
            <w:pPr>
              <w:pStyle w:val="TableParagraph"/>
              <w:rPr>
                <w:b/>
                <w:sz w:val="20"/>
              </w:rPr>
            </w:pPr>
            <w:r>
              <w:rPr>
                <w:b/>
                <w:sz w:val="20"/>
                <w:u w:val="thick"/>
              </w:rPr>
              <w:t>COMPANY</w:t>
            </w:r>
          </w:p>
        </w:tc>
        <w:tc>
          <w:tcPr>
            <w:tcW w:w="3031" w:type="dxa"/>
            <w:tcBorders>
              <w:bottom w:val="nil"/>
            </w:tcBorders>
          </w:tcPr>
          <w:p>
            <w:pPr>
              <w:pStyle w:val="TableParagraph"/>
              <w:spacing w:before="9"/>
              <w:ind w:left="0"/>
              <w:rPr>
                <w:sz w:val="18"/>
              </w:rPr>
            </w:pPr>
          </w:p>
          <w:p>
            <w:pPr>
              <w:pStyle w:val="TableParagraph"/>
              <w:rPr>
                <w:b/>
                <w:sz w:val="20"/>
              </w:rPr>
            </w:pPr>
            <w:r>
              <w:rPr>
                <w:b/>
                <w:sz w:val="20"/>
                <w:u w:val="thick"/>
              </w:rPr>
              <w:t>SOLE TRADER</w:t>
            </w:r>
          </w:p>
        </w:tc>
      </w:tr>
      <w:tr>
        <w:trPr>
          <w:trHeight w:val="1379" w:hRule="atLeast"/>
        </w:trPr>
        <w:tc>
          <w:tcPr>
            <w:tcW w:w="2880" w:type="dxa"/>
            <w:tcBorders>
              <w:top w:val="nil"/>
              <w:bottom w:val="nil"/>
            </w:tcBorders>
          </w:tcPr>
          <w:p>
            <w:pPr>
              <w:pStyle w:val="TableParagraph"/>
              <w:spacing w:line="235" w:lineRule="auto" w:before="99"/>
              <w:ind w:right="830"/>
              <w:rPr>
                <w:sz w:val="20"/>
              </w:rPr>
            </w:pPr>
            <w:r>
              <w:rPr>
                <w:sz w:val="20"/>
              </w:rPr>
              <w:t>Danona Customs &amp; Forwarding Pty Ltd ABN: 54 147 197 706</w:t>
            </w:r>
          </w:p>
          <w:p>
            <w:pPr>
              <w:pStyle w:val="TableParagraph"/>
              <w:spacing w:line="228" w:lineRule="exact"/>
              <w:rPr>
                <w:sz w:val="20"/>
              </w:rPr>
            </w:pPr>
            <w:r>
              <w:rPr>
                <w:sz w:val="20"/>
              </w:rPr>
              <w:t>Unit 1 / 46-48 Jedda Road</w:t>
            </w:r>
          </w:p>
          <w:p>
            <w:pPr>
              <w:pStyle w:val="TableParagraph"/>
              <w:spacing w:line="232" w:lineRule="exact"/>
              <w:rPr>
                <w:sz w:val="20"/>
              </w:rPr>
            </w:pPr>
            <w:r>
              <w:rPr>
                <w:sz w:val="20"/>
              </w:rPr>
              <w:t>Prestons NSW 2170</w:t>
            </w:r>
          </w:p>
        </w:tc>
        <w:tc>
          <w:tcPr>
            <w:tcW w:w="2880" w:type="dxa"/>
            <w:tcBorders>
              <w:top w:val="nil"/>
              <w:bottom w:val="nil"/>
            </w:tcBorders>
          </w:tcPr>
          <w:p>
            <w:pPr>
              <w:pStyle w:val="TableParagraph"/>
              <w:spacing w:line="235" w:lineRule="auto" w:before="99"/>
              <w:ind w:right="839"/>
              <w:rPr>
                <w:sz w:val="20"/>
              </w:rPr>
            </w:pPr>
            <w:r>
              <w:rPr>
                <w:sz w:val="20"/>
              </w:rPr>
              <w:t>ADT Freight Services Australia Pty Ltd ABN: 44 143 271 569</w:t>
            </w:r>
          </w:p>
          <w:p>
            <w:pPr>
              <w:pStyle w:val="TableParagraph"/>
              <w:spacing w:line="228" w:lineRule="exact"/>
              <w:rPr>
                <w:sz w:val="20"/>
              </w:rPr>
            </w:pPr>
            <w:r>
              <w:rPr>
                <w:sz w:val="20"/>
              </w:rPr>
              <w:t>Unit 1 / 2 Saligna Drive</w:t>
            </w:r>
          </w:p>
          <w:p>
            <w:pPr>
              <w:pStyle w:val="TableParagraph"/>
              <w:spacing w:line="232" w:lineRule="exact"/>
              <w:rPr>
                <w:sz w:val="20"/>
              </w:rPr>
            </w:pPr>
            <w:r>
              <w:rPr>
                <w:sz w:val="20"/>
              </w:rPr>
              <w:t>Tullamarine VIC 3043</w:t>
            </w:r>
          </w:p>
        </w:tc>
        <w:tc>
          <w:tcPr>
            <w:tcW w:w="3031" w:type="dxa"/>
            <w:tcBorders>
              <w:top w:val="nil"/>
              <w:bottom w:val="nil"/>
            </w:tcBorders>
          </w:tcPr>
          <w:p>
            <w:pPr>
              <w:pStyle w:val="TableParagraph"/>
              <w:spacing w:line="470" w:lineRule="auto" w:before="95"/>
              <w:ind w:right="981"/>
              <w:rPr>
                <w:sz w:val="20"/>
              </w:rPr>
            </w:pPr>
            <w:r>
              <w:rPr>
                <w:sz w:val="20"/>
              </w:rPr>
              <w:t>LEOW, Tok-Hong ABN: 59 671 667 237</w:t>
            </w:r>
          </w:p>
        </w:tc>
      </w:tr>
      <w:tr>
        <w:trPr>
          <w:trHeight w:val="806" w:hRule="atLeast"/>
        </w:trPr>
        <w:tc>
          <w:tcPr>
            <w:tcW w:w="2880" w:type="dxa"/>
            <w:tcBorders>
              <w:top w:val="nil"/>
              <w:bottom w:val="nil"/>
            </w:tcBorders>
          </w:tcPr>
          <w:p>
            <w:pPr>
              <w:pStyle w:val="TableParagraph"/>
              <w:spacing w:line="237" w:lineRule="exact" w:before="91"/>
              <w:rPr>
                <w:b/>
                <w:sz w:val="20"/>
              </w:rPr>
            </w:pPr>
            <w:r>
              <w:rPr>
                <w:b/>
                <w:sz w:val="20"/>
              </w:rPr>
              <w:t>Persons in Authority</w:t>
            </w:r>
          </w:p>
          <w:p>
            <w:pPr>
              <w:pStyle w:val="TableParagraph"/>
              <w:spacing w:line="230" w:lineRule="exact" w:before="4"/>
              <w:ind w:right="275"/>
              <w:rPr>
                <w:sz w:val="20"/>
              </w:rPr>
            </w:pPr>
            <w:r>
              <w:rPr>
                <w:sz w:val="20"/>
              </w:rPr>
              <w:t>RODRIGUEZ, Jose Antonio BLANCO, Jose Michael</w:t>
            </w:r>
          </w:p>
        </w:tc>
        <w:tc>
          <w:tcPr>
            <w:tcW w:w="2880" w:type="dxa"/>
            <w:tcBorders>
              <w:top w:val="nil"/>
              <w:bottom w:val="nil"/>
            </w:tcBorders>
          </w:tcPr>
          <w:p>
            <w:pPr>
              <w:pStyle w:val="TableParagraph"/>
              <w:spacing w:line="237" w:lineRule="exact" w:before="91"/>
              <w:rPr>
                <w:b/>
                <w:sz w:val="20"/>
              </w:rPr>
            </w:pPr>
            <w:r>
              <w:rPr>
                <w:b/>
                <w:sz w:val="20"/>
              </w:rPr>
              <w:t>Persons in Authority</w:t>
            </w:r>
          </w:p>
          <w:p>
            <w:pPr>
              <w:pStyle w:val="TableParagraph"/>
              <w:spacing w:line="233" w:lineRule="exact"/>
              <w:rPr>
                <w:sz w:val="20"/>
              </w:rPr>
            </w:pPr>
            <w:r>
              <w:rPr>
                <w:sz w:val="20"/>
              </w:rPr>
              <w:t>GOODWIN, Darren James</w:t>
            </w:r>
          </w:p>
        </w:tc>
        <w:tc>
          <w:tcPr>
            <w:tcW w:w="3031" w:type="dxa"/>
            <w:tcBorders>
              <w:top w:val="nil"/>
              <w:bottom w:val="nil"/>
            </w:tcBorders>
          </w:tcPr>
          <w:p>
            <w:pPr>
              <w:pStyle w:val="TableParagraph"/>
              <w:ind w:left="0"/>
              <w:rPr>
                <w:rFonts w:ascii="Times New Roman"/>
                <w:sz w:val="20"/>
              </w:rPr>
            </w:pPr>
          </w:p>
        </w:tc>
      </w:tr>
      <w:tr>
        <w:trPr>
          <w:trHeight w:val="228" w:hRule="atLeast"/>
        </w:trPr>
        <w:tc>
          <w:tcPr>
            <w:tcW w:w="2880" w:type="dxa"/>
            <w:tcBorders>
              <w:top w:val="nil"/>
              <w:bottom w:val="nil"/>
            </w:tcBorders>
          </w:tcPr>
          <w:p>
            <w:pPr>
              <w:pStyle w:val="TableParagraph"/>
              <w:ind w:left="0"/>
              <w:rPr>
                <w:rFonts w:ascii="Times New Roman"/>
                <w:sz w:val="16"/>
              </w:rPr>
            </w:pPr>
          </w:p>
        </w:tc>
        <w:tc>
          <w:tcPr>
            <w:tcW w:w="2880" w:type="dxa"/>
            <w:tcBorders>
              <w:top w:val="nil"/>
              <w:bottom w:val="nil"/>
            </w:tcBorders>
          </w:tcPr>
          <w:p>
            <w:pPr>
              <w:pStyle w:val="TableParagraph"/>
              <w:ind w:left="0"/>
              <w:rPr>
                <w:rFonts w:ascii="Times New Roman"/>
                <w:sz w:val="16"/>
              </w:rPr>
            </w:pPr>
          </w:p>
        </w:tc>
        <w:tc>
          <w:tcPr>
            <w:tcW w:w="3031" w:type="dxa"/>
            <w:tcBorders>
              <w:top w:val="nil"/>
              <w:bottom w:val="nil"/>
            </w:tcBorders>
          </w:tcPr>
          <w:p>
            <w:pPr>
              <w:pStyle w:val="TableParagraph"/>
              <w:spacing w:line="208" w:lineRule="exact"/>
              <w:rPr>
                <w:b/>
                <w:sz w:val="20"/>
              </w:rPr>
            </w:pPr>
            <w:r>
              <w:rPr>
                <w:b/>
                <w:sz w:val="20"/>
                <w:u w:val="thick"/>
              </w:rPr>
              <w:t>INDIVIDUALS</w:t>
            </w:r>
          </w:p>
        </w:tc>
      </w:tr>
      <w:tr>
        <w:trPr>
          <w:trHeight w:val="907" w:hRule="atLeast"/>
        </w:trPr>
        <w:tc>
          <w:tcPr>
            <w:tcW w:w="2880" w:type="dxa"/>
            <w:tcBorders>
              <w:top w:val="nil"/>
            </w:tcBorders>
          </w:tcPr>
          <w:p>
            <w:pPr>
              <w:pStyle w:val="TableParagraph"/>
              <w:spacing w:line="213" w:lineRule="exact"/>
              <w:rPr>
                <w:b/>
                <w:sz w:val="20"/>
              </w:rPr>
            </w:pPr>
            <w:r>
              <w:rPr>
                <w:b/>
                <w:sz w:val="20"/>
              </w:rPr>
              <w:t>Nominee Brokers</w:t>
            </w:r>
          </w:p>
          <w:p>
            <w:pPr>
              <w:pStyle w:val="TableParagraph"/>
              <w:spacing w:line="233" w:lineRule="exact"/>
              <w:rPr>
                <w:sz w:val="20"/>
              </w:rPr>
            </w:pPr>
            <w:r>
              <w:rPr>
                <w:sz w:val="20"/>
              </w:rPr>
              <w:t>RODRIGUEZ, Jose Antonio</w:t>
            </w:r>
          </w:p>
        </w:tc>
        <w:tc>
          <w:tcPr>
            <w:tcW w:w="2880" w:type="dxa"/>
            <w:tcBorders>
              <w:top w:val="nil"/>
            </w:tcBorders>
          </w:tcPr>
          <w:p>
            <w:pPr>
              <w:pStyle w:val="TableParagraph"/>
              <w:spacing w:line="213" w:lineRule="exact"/>
              <w:rPr>
                <w:b/>
                <w:sz w:val="20"/>
              </w:rPr>
            </w:pPr>
            <w:r>
              <w:rPr>
                <w:b/>
                <w:sz w:val="20"/>
              </w:rPr>
              <w:t>Nominee Brokers</w:t>
            </w:r>
          </w:p>
          <w:p>
            <w:pPr>
              <w:pStyle w:val="TableParagraph"/>
              <w:spacing w:line="233" w:lineRule="exact"/>
              <w:rPr>
                <w:sz w:val="20"/>
              </w:rPr>
            </w:pPr>
            <w:r>
              <w:rPr>
                <w:sz w:val="20"/>
              </w:rPr>
              <w:t>GOODWIN, Mark Christopher</w:t>
            </w:r>
          </w:p>
        </w:tc>
        <w:tc>
          <w:tcPr>
            <w:tcW w:w="3031" w:type="dxa"/>
            <w:tcBorders>
              <w:top w:val="nil"/>
            </w:tcBorders>
          </w:tcPr>
          <w:p>
            <w:pPr>
              <w:pStyle w:val="TableParagraph"/>
              <w:spacing w:before="11"/>
              <w:ind w:left="0"/>
              <w:rPr>
                <w:sz w:val="17"/>
              </w:rPr>
            </w:pPr>
          </w:p>
          <w:p>
            <w:pPr>
              <w:pStyle w:val="TableParagraph"/>
              <w:rPr>
                <w:sz w:val="20"/>
              </w:rPr>
            </w:pPr>
            <w:r>
              <w:rPr>
                <w:sz w:val="20"/>
              </w:rPr>
              <w:t>ALMOND, Gregory Adam</w:t>
            </w:r>
          </w:p>
        </w:tc>
      </w:tr>
    </w:tbl>
    <w:p>
      <w:pPr>
        <w:pStyle w:val="BodyText"/>
        <w:spacing w:before="7"/>
        <w:rPr>
          <w:sz w:val="19"/>
        </w:rPr>
      </w:pPr>
    </w:p>
    <w:p>
      <w:pPr>
        <w:pStyle w:val="BodyText"/>
        <w:spacing w:line="232" w:lineRule="auto"/>
        <w:ind w:left="1521" w:right="1714"/>
      </w:pPr>
      <w:r>
        <w:rPr/>
        <w:t>Any persons wishing to make written representation in respect of these applications should address the correspondence by 31 January 2011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5"/>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pPr>
    </w:p>
    <w:p>
      <w:pPr>
        <w:pStyle w:val="BodyText"/>
        <w:spacing w:before="11"/>
        <w:rPr>
          <w:sz w:val="18"/>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spacing w:before="11"/>
        <w:rPr>
          <w:sz w:val="18"/>
        </w:rPr>
      </w:pPr>
    </w:p>
    <w:p>
      <w:pPr>
        <w:pStyle w:val="BodyText"/>
        <w:spacing w:line="232" w:lineRule="auto"/>
        <w:ind w:left="1521" w:right="8863"/>
      </w:pPr>
      <w:r>
        <w:rPr/>
        <w:t>Kim Marshall Director</w:t>
      </w:r>
    </w:p>
    <w:p>
      <w:pPr>
        <w:pStyle w:val="BodyText"/>
        <w:spacing w:line="235" w:lineRule="auto" w:before="1"/>
        <w:ind w:left="1521" w:right="7273"/>
      </w:pPr>
      <w:r>
        <w:rPr/>
        <w:t>Compliance Assurance Branch for</w:t>
      </w:r>
    </w:p>
    <w:p>
      <w:pPr>
        <w:pStyle w:val="BodyText"/>
        <w:spacing w:line="357" w:lineRule="auto"/>
        <w:ind w:left="1576" w:right="7985" w:hanging="56"/>
      </w:pPr>
      <w:r>
        <w:rPr/>
        <w:t>Chief Executive Officer 12 January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2011.02.doc</dc:title>
  <dcterms:created xsi:type="dcterms:W3CDTF">2020-12-09T22:16:18Z</dcterms:created>
  <dcterms:modified xsi:type="dcterms:W3CDTF">2020-12-09T22:16:18Z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2011-02-02T00:00:00Z</vt:filetime>
  </property>
  <property fmtid="{D5CDD505-2E9C-101B-9397-08002B2CF9AE}" pid="3" name="Creator">
    <vt:lpwstr>PScript5.dll Version 5.2.2</vt:lpwstr>
  </property>
  <property fmtid="{D5CDD505-2E9C-101B-9397-08002B2CF9AE}" pid="4" name="LastSaved">
    <vt:filetime>2020-12-09T00:00:00Z</vt:filetime>
  </property>
</Properties>
</file>