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88"/>
        <w:ind w:left="4977"/>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2011/04</w:t>
      </w:r>
    </w:p>
    <w:p>
      <w:pPr>
        <w:pStyle w:val="BodyText"/>
        <w:spacing w:before="3"/>
        <w:rPr>
          <w:b/>
          <w:sz w:val="16"/>
        </w:rPr>
      </w:pPr>
    </w:p>
    <w:p>
      <w:pPr>
        <w:pStyle w:val="Title"/>
        <w:spacing w:line="230" w:lineRule="auto"/>
        <w:ind w:right="2225" w:firstLine="0"/>
      </w:pPr>
      <w:r>
        <w:rPr/>
        <w:t>Industry consultation on the Customs Amendment (Export Controls and Other Measures) Bill 2011</w:t>
      </w:r>
    </w:p>
    <w:p>
      <w:pPr>
        <w:pStyle w:val="BodyText"/>
        <w:spacing w:before="6"/>
        <w:rPr>
          <w:b/>
          <w:sz w:val="23"/>
        </w:rPr>
      </w:pPr>
    </w:p>
    <w:p>
      <w:pPr>
        <w:pStyle w:val="BodyText"/>
        <w:spacing w:line="235" w:lineRule="auto"/>
        <w:ind w:left="1521" w:right="1624"/>
        <w:jc w:val="both"/>
      </w:pPr>
      <w:r>
        <w:rPr/>
        <w:t>The Government’s response to the Independent Review of Airport Security and Policing for the Government</w:t>
      </w:r>
      <w:r>
        <w:rPr>
          <w:spacing w:val="-5"/>
        </w:rPr>
        <w:t> </w:t>
      </w:r>
      <w:r>
        <w:rPr/>
        <w:t>of</w:t>
      </w:r>
      <w:r>
        <w:rPr>
          <w:spacing w:val="-2"/>
        </w:rPr>
        <w:t> </w:t>
      </w:r>
      <w:r>
        <w:rPr/>
        <w:t>Australia</w:t>
      </w:r>
      <w:r>
        <w:rPr>
          <w:spacing w:val="-4"/>
        </w:rPr>
        <w:t> </w:t>
      </w:r>
      <w:r>
        <w:rPr/>
        <w:t>(the</w:t>
      </w:r>
      <w:r>
        <w:rPr>
          <w:spacing w:val="-9"/>
        </w:rPr>
        <w:t> </w:t>
      </w:r>
      <w:r>
        <w:rPr/>
        <w:t>Wheeler</w:t>
      </w:r>
      <w:r>
        <w:rPr>
          <w:spacing w:val="-4"/>
        </w:rPr>
        <w:t> </w:t>
      </w:r>
      <w:r>
        <w:rPr/>
        <w:t>Report)</w:t>
      </w:r>
      <w:r>
        <w:rPr>
          <w:spacing w:val="-1"/>
        </w:rPr>
        <w:t> </w:t>
      </w:r>
      <w:r>
        <w:rPr/>
        <w:t>included</w:t>
      </w:r>
      <w:r>
        <w:rPr>
          <w:spacing w:val="-3"/>
        </w:rPr>
        <w:t> </w:t>
      </w:r>
      <w:r>
        <w:rPr/>
        <w:t>a</w:t>
      </w:r>
      <w:r>
        <w:rPr>
          <w:spacing w:val="-4"/>
        </w:rPr>
        <w:t> </w:t>
      </w:r>
      <w:r>
        <w:rPr/>
        <w:t>joint</w:t>
      </w:r>
      <w:r>
        <w:rPr>
          <w:spacing w:val="-4"/>
        </w:rPr>
        <w:t> </w:t>
      </w:r>
      <w:r>
        <w:rPr/>
        <w:t>Department</w:t>
      </w:r>
      <w:r>
        <w:rPr>
          <w:spacing w:val="-5"/>
        </w:rPr>
        <w:t> </w:t>
      </w:r>
      <w:r>
        <w:rPr/>
        <w:t>of</w:t>
      </w:r>
      <w:r>
        <w:rPr>
          <w:spacing w:val="-2"/>
        </w:rPr>
        <w:t> </w:t>
      </w:r>
      <w:r>
        <w:rPr/>
        <w:t>Infrastructure</w:t>
      </w:r>
      <w:r>
        <w:rPr>
          <w:spacing w:val="-4"/>
        </w:rPr>
        <w:t> </w:t>
      </w:r>
      <w:r>
        <w:rPr/>
        <w:t>and Transport and Customs and Border Protection review of the legal provisions and administrative framework of licensed depots and warehouses and Regulated Air Cargo</w:t>
      </w:r>
      <w:r>
        <w:rPr>
          <w:spacing w:val="-9"/>
        </w:rPr>
        <w:t> </w:t>
      </w:r>
      <w:r>
        <w:rPr/>
        <w:t>Agents.</w:t>
      </w:r>
    </w:p>
    <w:p>
      <w:pPr>
        <w:pStyle w:val="BodyText"/>
        <w:spacing w:before="5"/>
        <w:rPr>
          <w:sz w:val="19"/>
        </w:rPr>
      </w:pPr>
    </w:p>
    <w:p>
      <w:pPr>
        <w:pStyle w:val="BodyText"/>
        <w:spacing w:line="235" w:lineRule="auto"/>
        <w:ind w:left="1521" w:right="1614"/>
      </w:pPr>
      <w:r>
        <w:rPr/>
        <w:t>The Minister for Home Affairs has agreed to the release of exposure draft legislation, which would implement the outcomes of that review as well as responding to recommendations made in the ANAO report ‘Customs’ Cargo Management Re-engineering Project. The proposed legislation would amend the </w:t>
      </w:r>
      <w:r>
        <w:rPr>
          <w:i/>
        </w:rPr>
        <w:t>Customs Act 1901 </w:t>
      </w:r>
      <w:r>
        <w:rPr/>
        <w:t>and the </w:t>
      </w:r>
      <w:r>
        <w:rPr>
          <w:i/>
        </w:rPr>
        <w:t>Customs Depot Licensing Charges Act 1997 </w:t>
      </w:r>
      <w:r>
        <w:rPr/>
        <w:t>to increase primarily the level of security in the air cargo environment.</w:t>
      </w:r>
    </w:p>
    <w:p>
      <w:pPr>
        <w:pStyle w:val="BodyText"/>
        <w:spacing w:before="5"/>
        <w:rPr>
          <w:sz w:val="19"/>
        </w:rPr>
      </w:pPr>
    </w:p>
    <w:p>
      <w:pPr>
        <w:pStyle w:val="BodyText"/>
        <w:spacing w:line="235" w:lineRule="auto"/>
        <w:ind w:left="1521" w:right="1020"/>
      </w:pPr>
      <w:r>
        <w:rPr/>
        <w:t>The Government is seeking feedback and comments on the exposure draft legislation. You can access the draft legislation and associated explanatory document on the Customs and Border Protection website </w:t>
      </w:r>
      <w:hyperlink r:id="rId6">
        <w:r>
          <w:rPr>
            <w:color w:val="0000FF"/>
            <w:u w:val="single" w:color="0000FF"/>
          </w:rPr>
          <w:t>www.customs.gov.au</w:t>
        </w:r>
        <w:r>
          <w:rPr/>
          <w:t>.</w:t>
        </w:r>
      </w:hyperlink>
    </w:p>
    <w:p>
      <w:pPr>
        <w:pStyle w:val="BodyText"/>
        <w:spacing w:before="8"/>
        <w:rPr>
          <w:sz w:val="18"/>
        </w:rPr>
      </w:pPr>
    </w:p>
    <w:p>
      <w:pPr>
        <w:spacing w:before="1"/>
        <w:ind w:left="1521" w:right="0" w:firstLine="0"/>
        <w:jc w:val="left"/>
        <w:rPr>
          <w:b/>
          <w:sz w:val="20"/>
        </w:rPr>
      </w:pPr>
      <w:r>
        <w:rPr>
          <w:b/>
          <w:sz w:val="20"/>
        </w:rPr>
        <w:t>The closing date for submissions on the draft legislation is Wednesday 2 March 2011.</w:t>
      </w:r>
    </w:p>
    <w:p>
      <w:pPr>
        <w:pStyle w:val="BodyText"/>
        <w:rPr>
          <w:b/>
          <w:sz w:val="19"/>
        </w:rPr>
      </w:pPr>
    </w:p>
    <w:p>
      <w:pPr>
        <w:pStyle w:val="BodyText"/>
        <w:ind w:left="1521"/>
      </w:pPr>
      <w:r>
        <w:rPr/>
        <w:t>You may provide submissions by:</w:t>
      </w:r>
    </w:p>
    <w:p>
      <w:pPr>
        <w:pStyle w:val="BodyText"/>
        <w:spacing w:before="2"/>
      </w:pPr>
    </w:p>
    <w:p>
      <w:pPr>
        <w:pStyle w:val="ListParagraph"/>
        <w:numPr>
          <w:ilvl w:val="0"/>
          <w:numId w:val="1"/>
        </w:numPr>
        <w:tabs>
          <w:tab w:pos="2241" w:val="left" w:leader="none"/>
          <w:tab w:pos="2242" w:val="left" w:leader="none"/>
        </w:tabs>
        <w:spacing w:line="247" w:lineRule="exact" w:before="1" w:after="0"/>
        <w:ind w:left="2241" w:right="0" w:hanging="361"/>
        <w:jc w:val="left"/>
        <w:rPr>
          <w:sz w:val="20"/>
          <w:u w:val="none"/>
        </w:rPr>
      </w:pPr>
      <w:r>
        <w:rPr>
          <w:sz w:val="20"/>
          <w:u w:val="none"/>
        </w:rPr>
        <w:t>email to</w:t>
      </w:r>
      <w:r>
        <w:rPr>
          <w:color w:val="0000FF"/>
          <w:sz w:val="20"/>
          <w:u w:val="none"/>
        </w:rPr>
        <w:t> </w:t>
      </w:r>
      <w:hyperlink r:id="rId7">
        <w:r>
          <w:rPr>
            <w:color w:val="0000FF"/>
            <w:sz w:val="20"/>
            <w:u w:val="single" w:color="0000FF"/>
          </w:rPr>
          <w:t>traderevenuepolicy@customs.gov.au</w:t>
        </w:r>
        <w:r>
          <w:rPr>
            <w:sz w:val="20"/>
            <w:u w:val="none"/>
          </w:rPr>
          <w:t>,</w:t>
        </w:r>
        <w:r>
          <w:rPr>
            <w:spacing w:val="-3"/>
            <w:sz w:val="20"/>
            <w:u w:val="none"/>
          </w:rPr>
          <w:t> </w:t>
        </w:r>
      </w:hyperlink>
      <w:r>
        <w:rPr>
          <w:sz w:val="20"/>
          <w:u w:val="none"/>
        </w:rPr>
        <w:t>or</w:t>
      </w:r>
    </w:p>
    <w:p>
      <w:pPr>
        <w:pStyle w:val="ListParagraph"/>
        <w:numPr>
          <w:ilvl w:val="0"/>
          <w:numId w:val="1"/>
        </w:numPr>
        <w:tabs>
          <w:tab w:pos="2241" w:val="left" w:leader="none"/>
          <w:tab w:pos="2242" w:val="left" w:leader="none"/>
        </w:tabs>
        <w:spacing w:line="247" w:lineRule="exact" w:before="0" w:after="0"/>
        <w:ind w:left="2241" w:right="0" w:hanging="361"/>
        <w:jc w:val="left"/>
        <w:rPr>
          <w:sz w:val="20"/>
          <w:u w:val="none"/>
        </w:rPr>
      </w:pPr>
      <w:r>
        <w:rPr>
          <w:sz w:val="20"/>
          <w:u w:val="none"/>
        </w:rPr>
        <w:t>post</w:t>
      </w:r>
      <w:r>
        <w:rPr>
          <w:spacing w:val="-2"/>
          <w:sz w:val="20"/>
          <w:u w:val="none"/>
        </w:rPr>
        <w:t> </w:t>
      </w:r>
      <w:r>
        <w:rPr>
          <w:sz w:val="20"/>
          <w:u w:val="none"/>
        </w:rPr>
        <w:t>to</w:t>
      </w:r>
    </w:p>
    <w:p>
      <w:pPr>
        <w:pStyle w:val="BodyText"/>
        <w:spacing w:line="235" w:lineRule="auto" w:before="212"/>
        <w:ind w:left="2229" w:right="5131"/>
      </w:pPr>
      <w:r>
        <w:rPr/>
        <w:t>Trade Revenue and Indirect Tax Policy Section 6</w:t>
      </w:r>
      <w:r>
        <w:rPr>
          <w:vertAlign w:val="superscript"/>
        </w:rPr>
        <w:t>th</w:t>
      </w:r>
      <w:r>
        <w:rPr>
          <w:vertAlign w:val="baseline"/>
        </w:rPr>
        <w:t> floor Customs House</w:t>
      </w:r>
    </w:p>
    <w:p>
      <w:pPr>
        <w:pStyle w:val="BodyText"/>
        <w:spacing w:line="228" w:lineRule="exact"/>
        <w:ind w:left="2229"/>
      </w:pPr>
      <w:r>
        <w:rPr/>
        <w:t>5 Constitution Avenue</w:t>
      </w:r>
    </w:p>
    <w:p>
      <w:pPr>
        <w:pStyle w:val="BodyText"/>
        <w:spacing w:line="232" w:lineRule="exact"/>
        <w:ind w:left="2229"/>
      </w:pPr>
      <w:r>
        <w:rPr/>
        <w:t>Canberra ACT 2601</w:t>
      </w:r>
    </w:p>
    <w:p>
      <w:pPr>
        <w:pStyle w:val="BodyText"/>
        <w:spacing w:before="6"/>
        <w:rPr>
          <w:sz w:val="19"/>
        </w:rPr>
      </w:pPr>
    </w:p>
    <w:p>
      <w:pPr>
        <w:pStyle w:val="BodyText"/>
        <w:spacing w:line="235" w:lineRule="auto"/>
        <w:ind w:left="1521" w:right="2255"/>
      </w:pPr>
      <w:r>
        <w:rPr/>
        <w:t>While you may lodge submissions electronically or by post, electronic lodgement in Word format is preferred.</w:t>
      </w:r>
    </w:p>
    <w:p>
      <w:pPr>
        <w:pStyle w:val="BodyText"/>
        <w:spacing w:before="5"/>
        <w:rPr>
          <w:sz w:val="19"/>
        </w:rPr>
      </w:pPr>
    </w:p>
    <w:p>
      <w:pPr>
        <w:pStyle w:val="BodyText"/>
        <w:spacing w:line="235" w:lineRule="auto"/>
        <w:ind w:left="1521" w:right="1703"/>
      </w:pPr>
      <w:r>
        <w:rPr/>
        <w:t>Customs and Border protection will treat submissions as public documents, and it may publish them on the Australian Customs and Border Protection website, unless the author expressly states that they would like all or part of the submission to remain in confidence. Legal requirements, such as those imposed by the </w:t>
      </w:r>
      <w:r>
        <w:rPr>
          <w:i/>
        </w:rPr>
        <w:t>Freedom of Information Act 1982</w:t>
      </w:r>
      <w:r>
        <w:rPr/>
        <w:t>, may affect the confidentiality of your submission.</w:t>
      </w:r>
    </w:p>
    <w:p>
      <w:pPr>
        <w:pStyle w:val="BodyText"/>
        <w:spacing w:before="5"/>
        <w:rPr>
          <w:sz w:val="19"/>
        </w:rPr>
      </w:pPr>
    </w:p>
    <w:p>
      <w:pPr>
        <w:pStyle w:val="BodyText"/>
        <w:spacing w:line="235" w:lineRule="auto"/>
        <w:ind w:left="1521" w:right="1814"/>
      </w:pPr>
      <w:r>
        <w:rPr/>
        <w:t>You should direct any enquiries about this notice to the Director, Trade Revenue and Indirect Tax Policy, on telephone number (02) 6275 5999.</w:t>
      </w:r>
    </w:p>
    <w:p>
      <w:pPr>
        <w:pStyle w:val="BodyText"/>
      </w:pPr>
    </w:p>
    <w:p>
      <w:pPr>
        <w:pStyle w:val="BodyText"/>
      </w:pPr>
    </w:p>
    <w:p>
      <w:pPr>
        <w:pStyle w:val="BodyText"/>
        <w:spacing w:before="6"/>
        <w:rPr>
          <w:sz w:val="18"/>
        </w:rPr>
      </w:pPr>
    </w:p>
    <w:p>
      <w:pPr>
        <w:pStyle w:val="BodyText"/>
        <w:spacing w:line="232" w:lineRule="exact"/>
        <w:ind w:left="1521"/>
      </w:pPr>
      <w:r>
        <w:rPr/>
        <w:t>(signed)</w:t>
      </w:r>
    </w:p>
    <w:p>
      <w:pPr>
        <w:pStyle w:val="BodyText"/>
        <w:spacing w:line="229" w:lineRule="exact"/>
        <w:ind w:left="1521"/>
      </w:pPr>
      <w:r>
        <w:rPr/>
        <w:t>Anthony Seebach</w:t>
      </w:r>
    </w:p>
    <w:p>
      <w:pPr>
        <w:pStyle w:val="BodyText"/>
        <w:spacing w:line="235" w:lineRule="auto" w:before="1"/>
        <w:ind w:left="1521" w:right="6294"/>
      </w:pPr>
      <w:r>
        <w:rPr/>
        <w:t>National Manager, Trade Services Branch 2 February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0"/>
      </w:pPr>
      <w:rPr>
        <w:rFonts w:hint="default" w:ascii="Symbol" w:hAnsi="Symbol" w:eastAsia="Symbol" w:cs="Symbol"/>
        <w:w w:val="99"/>
        <w:sz w:val="20"/>
        <w:szCs w:val="20"/>
      </w:rPr>
    </w:lvl>
    <w:lvl w:ilvl="1">
      <w:start w:val="0"/>
      <w:numFmt w:val="bullet"/>
      <w:lvlText w:val="•"/>
      <w:lvlJc w:val="left"/>
      <w:pPr>
        <w:ind w:left="2400" w:hanging="360"/>
      </w:pPr>
      <w:rPr>
        <w:rFonts w:hint="default"/>
      </w:rPr>
    </w:lvl>
    <w:lvl w:ilvl="2">
      <w:start w:val="0"/>
      <w:numFmt w:val="bullet"/>
      <w:lvlText w:val="•"/>
      <w:lvlJc w:val="left"/>
      <w:pPr>
        <w:ind w:left="3417" w:hanging="360"/>
      </w:pPr>
      <w:rPr>
        <w:rFonts w:hint="default"/>
      </w:rPr>
    </w:lvl>
    <w:lvl w:ilvl="3">
      <w:start w:val="0"/>
      <w:numFmt w:val="bullet"/>
      <w:lvlText w:val="•"/>
      <w:lvlJc w:val="left"/>
      <w:pPr>
        <w:ind w:left="4435" w:hanging="360"/>
      </w:pPr>
      <w:rPr>
        <w:rFonts w:hint="default"/>
      </w:rPr>
    </w:lvl>
    <w:lvl w:ilvl="4">
      <w:start w:val="0"/>
      <w:numFmt w:val="bullet"/>
      <w:lvlText w:val="•"/>
      <w:lvlJc w:val="left"/>
      <w:pPr>
        <w:ind w:left="5453" w:hanging="360"/>
      </w:pPr>
      <w:rPr>
        <w:rFonts w:hint="default"/>
      </w:rPr>
    </w:lvl>
    <w:lvl w:ilvl="5">
      <w:start w:val="0"/>
      <w:numFmt w:val="bullet"/>
      <w:lvlText w:val="•"/>
      <w:lvlJc w:val="left"/>
      <w:pPr>
        <w:ind w:left="6471" w:hanging="360"/>
      </w:pPr>
      <w:rPr>
        <w:rFonts w:hint="default"/>
      </w:rPr>
    </w:lvl>
    <w:lvl w:ilvl="6">
      <w:start w:val="0"/>
      <w:numFmt w:val="bullet"/>
      <w:lvlText w:val="•"/>
      <w:lvlJc w:val="left"/>
      <w:pPr>
        <w:ind w:left="7488" w:hanging="360"/>
      </w:pPr>
      <w:rPr>
        <w:rFonts w:hint="default"/>
      </w:rPr>
    </w:lvl>
    <w:lvl w:ilvl="7">
      <w:start w:val="0"/>
      <w:numFmt w:val="bullet"/>
      <w:lvlText w:val="•"/>
      <w:lvlJc w:val="left"/>
      <w:pPr>
        <w:ind w:left="8506" w:hanging="360"/>
      </w:pPr>
      <w:rPr>
        <w:rFonts w:hint="default"/>
      </w:rPr>
    </w:lvl>
    <w:lvl w:ilvl="8">
      <w:start w:val="0"/>
      <w:numFmt w:val="bullet"/>
      <w:lvlText w:val="•"/>
      <w:lvlJc w:val="left"/>
      <w:pPr>
        <w:ind w:left="952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9"/>
      <w:ind w:left="1521" w:right="1608" w:hanging="3368"/>
    </w:pPr>
    <w:rPr>
      <w:rFonts w:ascii="Helvetica" w:hAnsi="Helvetica" w:eastAsia="Helvetica" w:cs="Helvetica"/>
      <w:b/>
      <w:bCs/>
      <w:sz w:val="28"/>
      <w:szCs w:val="28"/>
    </w:rPr>
  </w:style>
  <w:style w:styleId="ListParagraph" w:type="paragraph">
    <w:name w:val="List Paragraph"/>
    <w:basedOn w:val="Normal"/>
    <w:uiPriority w:val="1"/>
    <w:qFormat/>
    <w:pPr>
      <w:spacing w:line="247" w:lineRule="exact"/>
      <w:ind w:left="2241" w:hanging="361"/>
    </w:pPr>
    <w:rPr>
      <w:rFonts w:ascii="Helvetica" w:hAnsi="Helvetica" w:eastAsia="Helvetica" w:cs="Helvetica"/>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traderevenuepolicy@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c8anl</dc:creator>
  <dc:title>Microsoft Word - ACBPN - industry consultation final.doc</dc:title>
  <dcterms:created xsi:type="dcterms:W3CDTF">2020-12-09T22:31:39Z</dcterms:created>
  <dcterms:modified xsi:type="dcterms:W3CDTF">2020-12-09T22:31:39Z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2011-02-02T00:00:00Z</vt:filetime>
  </property>
  <property fmtid="{D5CDD505-2E9C-101B-9397-08002B2CF9AE}" pid="3" name="Creator">
    <vt:lpwstr>PScript5.dll Version 5.2.2</vt:lpwstr>
  </property>
  <property fmtid="{D5CDD505-2E9C-101B-9397-08002B2CF9AE}" pid="4" name="LastSaved">
    <vt:filetime>2020-12-09T00:00:00Z</vt:filetime>
  </property>
</Properties>
</file>