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spacing w:before="6"/>
        <w:rPr>
          <w:rFonts w:ascii="Times New Roman"/>
          <w:sz w:val="22"/>
        </w:rPr>
      </w:pPr>
    </w:p>
    <w:p>
      <w:pPr>
        <w:pStyle w:val="Title"/>
        <w:spacing w:line="230" w:lineRule="auto"/>
      </w:pPr>
      <w:r>
        <w:rPr/>
        <w:t>AUSTRALIAN CUSTOMS AND BORDER PROTECTION NOTICE NO. 2011/17</w:t>
      </w:r>
    </w:p>
    <w:p>
      <w:pPr>
        <w:pStyle w:val="BodyText"/>
        <w:spacing w:before="7"/>
        <w:rPr>
          <w:b/>
          <w:sz w:val="42"/>
        </w:rPr>
      </w:pPr>
    </w:p>
    <w:p>
      <w:pPr>
        <w:spacing w:before="1"/>
        <w:ind w:left="1667" w:right="1678" w:firstLine="0"/>
        <w:jc w:val="center"/>
        <w:rPr>
          <w:sz w:val="28"/>
        </w:rPr>
      </w:pPr>
      <w:r>
        <w:rPr>
          <w:sz w:val="28"/>
        </w:rPr>
        <w:t>Cheese and Curd Quota Scheme – Allocations for 2011-2012</w:t>
      </w:r>
    </w:p>
    <w:p>
      <w:pPr>
        <w:pStyle w:val="BodyText"/>
        <w:spacing w:line="235" w:lineRule="auto" w:before="228"/>
        <w:ind w:left="1521" w:right="1736"/>
      </w:pPr>
      <w:r>
        <w:rPr/>
        <w:t>In early June 2011, the Australian Customs and Border Protection Service will contact cheese quota holders as part of its work on quota allocations for 2011-2012.</w:t>
      </w:r>
    </w:p>
    <w:p>
      <w:pPr>
        <w:pStyle w:val="BodyText"/>
        <w:spacing w:before="9"/>
        <w:rPr>
          <w:sz w:val="19"/>
        </w:rPr>
      </w:pPr>
    </w:p>
    <w:p>
      <w:pPr>
        <w:pStyle w:val="BodyText"/>
        <w:spacing w:line="232" w:lineRule="auto"/>
        <w:ind w:left="1521" w:right="1814"/>
      </w:pPr>
      <w:r>
        <w:rPr/>
        <w:t>The calculation of an importer’s forthcoming allocation is based on the actual use of quota by that importer in the 23-month period ending 31 May 2011, as shown in Customs’ records of Import Declarations lodged between </w:t>
      </w:r>
      <w:r>
        <w:rPr>
          <w:b/>
          <w:u w:val="thick"/>
        </w:rPr>
        <w:t>01 July 2009 and 31 May 2011</w:t>
      </w:r>
      <w:r>
        <w:rPr/>
        <w:t>.</w:t>
      </w:r>
    </w:p>
    <w:p>
      <w:pPr>
        <w:pStyle w:val="BodyText"/>
        <w:spacing w:before="7"/>
        <w:rPr>
          <w:sz w:val="19"/>
        </w:rPr>
      </w:pPr>
    </w:p>
    <w:p>
      <w:pPr>
        <w:pStyle w:val="BodyText"/>
        <w:spacing w:line="235" w:lineRule="auto"/>
        <w:ind w:left="1521" w:right="1783"/>
      </w:pPr>
      <w:r>
        <w:rPr>
          <w:spacing w:val="3"/>
        </w:rPr>
        <w:t>We </w:t>
      </w:r>
      <w:r>
        <w:rPr/>
        <w:t>remind importers that quotas are allocated for a particular financial year. To use the quota</w:t>
      </w:r>
      <w:r>
        <w:rPr>
          <w:spacing w:val="-5"/>
        </w:rPr>
        <w:t> </w:t>
      </w:r>
      <w:r>
        <w:rPr/>
        <w:t>allocated,</w:t>
      </w:r>
      <w:r>
        <w:rPr>
          <w:spacing w:val="-3"/>
        </w:rPr>
        <w:t> </w:t>
      </w:r>
      <w:r>
        <w:rPr/>
        <w:t>importers</w:t>
      </w:r>
      <w:r>
        <w:rPr>
          <w:spacing w:val="-3"/>
        </w:rPr>
        <w:t> </w:t>
      </w:r>
      <w:r>
        <w:rPr/>
        <w:t>are</w:t>
      </w:r>
      <w:r>
        <w:rPr>
          <w:spacing w:val="-5"/>
        </w:rPr>
        <w:t> </w:t>
      </w:r>
      <w:r>
        <w:rPr/>
        <w:t>required</w:t>
      </w:r>
      <w:r>
        <w:rPr>
          <w:spacing w:val="-3"/>
        </w:rPr>
        <w:t> </w:t>
      </w:r>
      <w:r>
        <w:rPr/>
        <w:t>to</w:t>
      </w:r>
      <w:r>
        <w:rPr>
          <w:spacing w:val="-2"/>
        </w:rPr>
        <w:t> </w:t>
      </w:r>
      <w:r>
        <w:rPr/>
        <w:t>‘enter</w:t>
      </w:r>
      <w:r>
        <w:rPr>
          <w:spacing w:val="-4"/>
        </w:rPr>
        <w:t> </w:t>
      </w:r>
      <w:r>
        <w:rPr/>
        <w:t>for</w:t>
      </w:r>
      <w:r>
        <w:rPr>
          <w:spacing w:val="-4"/>
        </w:rPr>
        <w:t> </w:t>
      </w:r>
      <w:r>
        <w:rPr/>
        <w:t>home</w:t>
      </w:r>
      <w:r>
        <w:rPr>
          <w:spacing w:val="-4"/>
        </w:rPr>
        <w:t> </w:t>
      </w:r>
      <w:r>
        <w:rPr/>
        <w:t>consumption’</w:t>
      </w:r>
      <w:r>
        <w:rPr>
          <w:spacing w:val="-6"/>
        </w:rPr>
        <w:t> </w:t>
      </w:r>
      <w:r>
        <w:rPr/>
        <w:t>their</w:t>
      </w:r>
      <w:r>
        <w:rPr>
          <w:spacing w:val="-1"/>
        </w:rPr>
        <w:t> </w:t>
      </w:r>
      <w:r>
        <w:rPr/>
        <w:t>imported</w:t>
      </w:r>
      <w:r>
        <w:rPr>
          <w:spacing w:val="-5"/>
        </w:rPr>
        <w:t> </w:t>
      </w:r>
      <w:r>
        <w:rPr/>
        <w:t>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preference circumstances, or a Free Trade Agreement (FTA), quota cannot be</w:t>
      </w:r>
      <w:r>
        <w:rPr>
          <w:spacing w:val="-22"/>
        </w:rPr>
        <w:t> </w:t>
      </w:r>
      <w:r>
        <w:rPr/>
        <w:t>used.</w:t>
      </w:r>
    </w:p>
    <w:p>
      <w:pPr>
        <w:pStyle w:val="BodyText"/>
        <w:spacing w:before="1"/>
        <w:rPr>
          <w:sz w:val="19"/>
        </w:rPr>
      </w:pPr>
    </w:p>
    <w:p>
      <w:pPr>
        <w:pStyle w:val="BodyText"/>
        <w:ind w:left="1521"/>
      </w:pPr>
      <w:r>
        <w:rPr/>
        <w:t>The cheese or curd is ‘entered for home consumption’ if:</w:t>
      </w:r>
    </w:p>
    <w:p>
      <w:pPr>
        <w:pStyle w:val="BodyText"/>
        <w:spacing w:before="7"/>
        <w:rPr>
          <w:sz w:val="18"/>
        </w:rPr>
      </w:pPr>
    </w:p>
    <w:p>
      <w:pPr>
        <w:pStyle w:val="ListParagraph"/>
        <w:numPr>
          <w:ilvl w:val="0"/>
          <w:numId w:val="1"/>
        </w:numPr>
        <w:tabs>
          <w:tab w:pos="2241" w:val="left" w:leader="none"/>
          <w:tab w:pos="2242" w:val="left" w:leader="none"/>
        </w:tabs>
        <w:spacing w:line="237" w:lineRule="exact" w:before="0" w:after="0"/>
        <w:ind w:left="2241" w:right="0" w:hanging="721"/>
        <w:jc w:val="left"/>
        <w:rPr>
          <w:b/>
          <w:sz w:val="20"/>
        </w:rPr>
      </w:pPr>
      <w:r>
        <w:rPr>
          <w:sz w:val="20"/>
        </w:rPr>
        <w:t>an entry for home consumption for the goods is lodged with Customs;</w:t>
      </w:r>
      <w:r>
        <w:rPr>
          <w:spacing w:val="-8"/>
          <w:sz w:val="20"/>
        </w:rPr>
        <w:t> </w:t>
      </w:r>
      <w:r>
        <w:rPr>
          <w:b/>
          <w:sz w:val="20"/>
        </w:rPr>
        <w:t>and</w:t>
      </w:r>
    </w:p>
    <w:p>
      <w:pPr>
        <w:pStyle w:val="ListParagraph"/>
        <w:numPr>
          <w:ilvl w:val="0"/>
          <w:numId w:val="1"/>
        </w:numPr>
        <w:tabs>
          <w:tab w:pos="2241" w:val="left" w:leader="none"/>
          <w:tab w:pos="2242" w:val="left" w:leader="none"/>
        </w:tabs>
        <w:spacing w:line="235" w:lineRule="auto" w:before="2" w:after="0"/>
        <w:ind w:left="2241" w:right="1715" w:hanging="720"/>
        <w:jc w:val="left"/>
        <w:rPr>
          <w:sz w:val="20"/>
        </w:rPr>
      </w:pPr>
      <w:r>
        <w:rPr>
          <w:sz w:val="20"/>
        </w:rPr>
        <w:t>the</w:t>
      </w:r>
      <w:r>
        <w:rPr>
          <w:spacing w:val="-2"/>
          <w:sz w:val="20"/>
        </w:rPr>
        <w:t> </w:t>
      </w:r>
      <w:r>
        <w:rPr>
          <w:sz w:val="20"/>
        </w:rPr>
        <w:t>vessel</w:t>
      </w:r>
      <w:r>
        <w:rPr>
          <w:spacing w:val="-2"/>
          <w:sz w:val="20"/>
        </w:rPr>
        <w:t> </w:t>
      </w:r>
      <w:r>
        <w:rPr>
          <w:sz w:val="20"/>
        </w:rPr>
        <w:t>or</w:t>
      </w:r>
      <w:r>
        <w:rPr>
          <w:spacing w:val="-3"/>
          <w:sz w:val="20"/>
        </w:rPr>
        <w:t> </w:t>
      </w:r>
      <w:r>
        <w:rPr>
          <w:sz w:val="20"/>
        </w:rPr>
        <w:t>aircraft</w:t>
      </w:r>
      <w:r>
        <w:rPr>
          <w:spacing w:val="-3"/>
          <w:sz w:val="20"/>
        </w:rPr>
        <w:t> </w:t>
      </w:r>
      <w:r>
        <w:rPr>
          <w:sz w:val="20"/>
        </w:rPr>
        <w:t>carrying</w:t>
      </w:r>
      <w:r>
        <w:rPr>
          <w:spacing w:val="-4"/>
          <w:sz w:val="20"/>
        </w:rPr>
        <w:t> </w:t>
      </w:r>
      <w:r>
        <w:rPr>
          <w:sz w:val="20"/>
        </w:rPr>
        <w:t>the</w:t>
      </w:r>
      <w:r>
        <w:rPr>
          <w:spacing w:val="-4"/>
          <w:sz w:val="20"/>
        </w:rPr>
        <w:t> </w:t>
      </w:r>
      <w:r>
        <w:rPr>
          <w:sz w:val="20"/>
        </w:rPr>
        <w:t>cheese</w:t>
      </w:r>
      <w:r>
        <w:rPr>
          <w:spacing w:val="-4"/>
          <w:sz w:val="20"/>
        </w:rPr>
        <w:t> </w:t>
      </w:r>
      <w:r>
        <w:rPr>
          <w:sz w:val="20"/>
        </w:rPr>
        <w:t>or</w:t>
      </w:r>
      <w:r>
        <w:rPr>
          <w:spacing w:val="-2"/>
          <w:sz w:val="20"/>
        </w:rPr>
        <w:t> </w:t>
      </w:r>
      <w:r>
        <w:rPr>
          <w:sz w:val="20"/>
        </w:rPr>
        <w:t>curd</w:t>
      </w:r>
      <w:r>
        <w:rPr>
          <w:spacing w:val="-2"/>
          <w:sz w:val="20"/>
        </w:rPr>
        <w:t> </w:t>
      </w:r>
      <w:r>
        <w:rPr>
          <w:sz w:val="20"/>
        </w:rPr>
        <w:t>has arrived</w:t>
      </w:r>
      <w:r>
        <w:rPr>
          <w:spacing w:val="-4"/>
          <w:sz w:val="20"/>
        </w:rPr>
        <w:t> </w:t>
      </w:r>
      <w:r>
        <w:rPr>
          <w:sz w:val="20"/>
        </w:rPr>
        <w:t>at</w:t>
      </w:r>
      <w:r>
        <w:rPr>
          <w:spacing w:val="-1"/>
          <w:sz w:val="20"/>
        </w:rPr>
        <w:t> </w:t>
      </w:r>
      <w:r>
        <w:rPr>
          <w:sz w:val="20"/>
        </w:rPr>
        <w:t>the</w:t>
      </w:r>
      <w:r>
        <w:rPr>
          <w:spacing w:val="-2"/>
          <w:sz w:val="20"/>
        </w:rPr>
        <w:t> </w:t>
      </w:r>
      <w:r>
        <w:rPr>
          <w:sz w:val="20"/>
        </w:rPr>
        <w:t>first</w:t>
      </w:r>
      <w:r>
        <w:rPr>
          <w:spacing w:val="-4"/>
          <w:sz w:val="20"/>
        </w:rPr>
        <w:t> </w:t>
      </w:r>
      <w:r>
        <w:rPr>
          <w:sz w:val="20"/>
        </w:rPr>
        <w:t>Australian</w:t>
      </w:r>
      <w:r>
        <w:rPr>
          <w:spacing w:val="-4"/>
          <w:sz w:val="20"/>
        </w:rPr>
        <w:t> </w:t>
      </w:r>
      <w:r>
        <w:rPr>
          <w:sz w:val="20"/>
        </w:rPr>
        <w:t>port or airport at which any cargo is intended to be</w:t>
      </w:r>
      <w:r>
        <w:rPr>
          <w:spacing w:val="-8"/>
          <w:sz w:val="20"/>
        </w:rPr>
        <w:t> </w:t>
      </w:r>
      <w:r>
        <w:rPr>
          <w:sz w:val="20"/>
        </w:rPr>
        <w:t>discharged.</w:t>
      </w:r>
    </w:p>
    <w:p>
      <w:pPr>
        <w:pStyle w:val="BodyText"/>
        <w:spacing w:before="9"/>
        <w:rPr>
          <w:sz w:val="19"/>
        </w:rPr>
      </w:pPr>
    </w:p>
    <w:p>
      <w:pPr>
        <w:pStyle w:val="BodyText"/>
        <w:spacing w:line="232" w:lineRule="auto"/>
        <w:ind w:left="1521" w:right="2136"/>
      </w:pPr>
      <w:r>
        <w:rPr/>
        <w:t>If an importer does not meet these conditions by the end of the particular financial year to which the quota relates, the goods are ‘entered for home consumption’</w:t>
      </w:r>
    </w:p>
    <w:p>
      <w:pPr>
        <w:pStyle w:val="BodyText"/>
        <w:spacing w:before="7"/>
        <w:rPr>
          <w:sz w:val="25"/>
        </w:rPr>
      </w:pPr>
    </w:p>
    <w:p>
      <w:pPr>
        <w:pStyle w:val="ListParagraph"/>
        <w:numPr>
          <w:ilvl w:val="0"/>
          <w:numId w:val="2"/>
        </w:numPr>
        <w:tabs>
          <w:tab w:pos="2241" w:val="left" w:leader="none"/>
          <w:tab w:pos="2242" w:val="left" w:leader="none"/>
        </w:tabs>
        <w:spacing w:line="220" w:lineRule="auto" w:before="1" w:after="0"/>
        <w:ind w:left="2241" w:right="1758" w:hanging="720"/>
        <w:jc w:val="left"/>
        <w:rPr>
          <w:sz w:val="20"/>
        </w:rPr>
      </w:pPr>
      <w:r>
        <w:rPr>
          <w:sz w:val="20"/>
        </w:rPr>
        <w:t>under quota for the following financial year (if the importer has sufficient quota</w:t>
      </w:r>
      <w:r>
        <w:rPr>
          <w:spacing w:val="-40"/>
          <w:sz w:val="20"/>
        </w:rPr>
        <w:t> </w:t>
      </w:r>
      <w:r>
        <w:rPr>
          <w:sz w:val="20"/>
        </w:rPr>
        <w:t>for that year), or</w:t>
      </w:r>
    </w:p>
    <w:p>
      <w:pPr>
        <w:pStyle w:val="ListParagraph"/>
        <w:numPr>
          <w:ilvl w:val="0"/>
          <w:numId w:val="2"/>
        </w:numPr>
        <w:tabs>
          <w:tab w:pos="2241" w:val="left" w:leader="none"/>
          <w:tab w:pos="2242" w:val="left" w:leader="none"/>
        </w:tabs>
        <w:spacing w:line="220" w:lineRule="auto" w:before="25" w:after="0"/>
        <w:ind w:left="2241" w:right="1801" w:hanging="721"/>
        <w:jc w:val="left"/>
        <w:rPr>
          <w:sz w:val="20"/>
        </w:rPr>
      </w:pPr>
      <w:r>
        <w:rPr>
          <w:sz w:val="20"/>
        </w:rPr>
        <w:t>without concession at the rate of Customs duty applicable to the relevant subheading of Schedule 3 of the Customs Tariff Act.</w:t>
      </w:r>
    </w:p>
    <w:p>
      <w:pPr>
        <w:pStyle w:val="BodyText"/>
        <w:spacing w:before="7"/>
        <w:rPr>
          <w:sz w:val="19"/>
        </w:rPr>
      </w:pPr>
    </w:p>
    <w:p>
      <w:pPr>
        <w:pStyle w:val="BodyText"/>
        <w:ind w:left="1521"/>
      </w:pPr>
      <w:r>
        <w:rPr/>
        <w:t>Please note that:</w:t>
      </w:r>
    </w:p>
    <w:p>
      <w:pPr>
        <w:pStyle w:val="BodyText"/>
        <w:spacing w:before="6"/>
        <w:rPr>
          <w:sz w:val="21"/>
        </w:rPr>
      </w:pPr>
    </w:p>
    <w:p>
      <w:pPr>
        <w:pStyle w:val="ListParagraph"/>
        <w:numPr>
          <w:ilvl w:val="0"/>
          <w:numId w:val="2"/>
        </w:numPr>
        <w:tabs>
          <w:tab w:pos="2241" w:val="left" w:leader="none"/>
          <w:tab w:pos="2242" w:val="left" w:leader="none"/>
        </w:tabs>
        <w:spacing w:line="218" w:lineRule="auto" w:before="1" w:after="0"/>
        <w:ind w:left="2241" w:right="1913" w:hanging="721"/>
        <w:jc w:val="left"/>
        <w:rPr>
          <w:sz w:val="20"/>
        </w:rPr>
      </w:pPr>
      <w:r>
        <w:rPr>
          <w:sz w:val="20"/>
        </w:rPr>
        <w:t>The quota calculation excludes any part of the quota transferred to another</w:t>
      </w:r>
      <w:r>
        <w:rPr>
          <w:spacing w:val="-38"/>
          <w:sz w:val="20"/>
        </w:rPr>
        <w:t> </w:t>
      </w:r>
      <w:r>
        <w:rPr>
          <w:sz w:val="20"/>
        </w:rPr>
        <w:t>importer during the 23-month period or that remains unused at </w:t>
      </w:r>
      <w:r>
        <w:rPr>
          <w:b/>
          <w:sz w:val="20"/>
          <w:u w:val="thick"/>
        </w:rPr>
        <w:t>31 May</w:t>
      </w:r>
      <w:r>
        <w:rPr>
          <w:b/>
          <w:spacing w:val="-14"/>
          <w:sz w:val="20"/>
          <w:u w:val="thick"/>
        </w:rPr>
        <w:t> </w:t>
      </w:r>
      <w:r>
        <w:rPr>
          <w:b/>
          <w:sz w:val="20"/>
          <w:u w:val="thick"/>
        </w:rPr>
        <w:t>2011</w:t>
      </w:r>
      <w:r>
        <w:rPr>
          <w:sz w:val="20"/>
        </w:rPr>
        <w:t>.</w:t>
      </w:r>
    </w:p>
    <w:p>
      <w:pPr>
        <w:pStyle w:val="BodyText"/>
        <w:spacing w:before="1"/>
        <w:rPr>
          <w:sz w:val="21"/>
        </w:rPr>
      </w:pPr>
    </w:p>
    <w:p>
      <w:pPr>
        <w:pStyle w:val="ListParagraph"/>
        <w:numPr>
          <w:ilvl w:val="0"/>
          <w:numId w:val="2"/>
        </w:numPr>
        <w:tabs>
          <w:tab w:pos="2241" w:val="left" w:leader="none"/>
          <w:tab w:pos="2242" w:val="left" w:leader="none"/>
        </w:tabs>
        <w:spacing w:line="230" w:lineRule="auto" w:before="1" w:after="0"/>
        <w:ind w:left="2241" w:right="1547" w:hanging="720"/>
        <w:jc w:val="left"/>
        <w:rPr>
          <w:sz w:val="20"/>
        </w:rPr>
      </w:pPr>
      <w:r>
        <w:rPr>
          <w:sz w:val="20"/>
        </w:rPr>
        <w:t>Quota used during the month of June 2010 will be taken into consideration for</w:t>
      </w:r>
      <w:r>
        <w:rPr>
          <w:spacing w:val="-38"/>
          <w:sz w:val="20"/>
        </w:rPr>
        <w:t> </w:t>
      </w:r>
      <w:r>
        <w:rPr>
          <w:sz w:val="20"/>
        </w:rPr>
        <w:t>allocation 2012-2013, but will NOT count in computations for 2013-2014. This June ‘factor’ is repetitive for every annual allocation because of the 31 May import performance cut-off for calculation of following years’</w:t>
      </w:r>
      <w:r>
        <w:rPr>
          <w:spacing w:val="2"/>
          <w:sz w:val="20"/>
        </w:rPr>
        <w:t> </w:t>
      </w:r>
      <w:r>
        <w:rPr>
          <w:sz w:val="20"/>
        </w:rPr>
        <w:t>allocations.</w:t>
      </w:r>
    </w:p>
    <w:p>
      <w:pPr>
        <w:pStyle w:val="BodyText"/>
        <w:spacing w:before="5"/>
        <w:rPr>
          <w:sz w:val="19"/>
        </w:rPr>
      </w:pPr>
    </w:p>
    <w:p>
      <w:pPr>
        <w:pStyle w:val="BodyText"/>
        <w:spacing w:line="235" w:lineRule="auto"/>
        <w:ind w:left="1521" w:right="1669"/>
      </w:pPr>
      <w:r>
        <w:rPr/>
        <w:t>At this time of the year, quota users and their brokers should take stock of quota balances with a view to maximising usage and consequently maximising their next allocation.</w:t>
      </w:r>
    </w:p>
    <w:p>
      <w:pPr>
        <w:pStyle w:val="BodyText"/>
        <w:spacing w:before="7"/>
        <w:rPr>
          <w:sz w:val="19"/>
        </w:rPr>
      </w:pPr>
    </w:p>
    <w:p>
      <w:pPr>
        <w:spacing w:line="232" w:lineRule="auto" w:before="0"/>
        <w:ind w:left="1521" w:right="2226" w:firstLine="0"/>
        <w:jc w:val="left"/>
        <w:rPr>
          <w:sz w:val="20"/>
        </w:rPr>
      </w:pPr>
      <w:r>
        <w:rPr>
          <w:sz w:val="20"/>
        </w:rPr>
        <w:t>We will publish the final allocation in the </w:t>
      </w:r>
      <w:r>
        <w:rPr>
          <w:i/>
          <w:sz w:val="20"/>
        </w:rPr>
        <w:t>Commonwealth of Australia: Tariff Concessions Gazette </w:t>
      </w:r>
      <w:r>
        <w:rPr>
          <w:sz w:val="20"/>
        </w:rPr>
        <w:t>in July 2011.</w:t>
      </w:r>
    </w:p>
    <w:p>
      <w:pPr>
        <w:spacing w:after="0" w:line="232" w:lineRule="auto"/>
        <w:jc w:val="left"/>
        <w:rPr>
          <w:sz w:val="20"/>
        </w:rPr>
        <w:sectPr>
          <w:type w:val="continuous"/>
          <w:pgSz w:w="11900" w:h="16840"/>
          <w:pgMar w:top="1140" w:bottom="280" w:left="180" w:right="160"/>
        </w:sectPr>
      </w:pPr>
    </w:p>
    <w:p>
      <w:pPr>
        <w:pStyle w:val="BodyText"/>
        <w:spacing w:line="235" w:lineRule="auto" w:before="41"/>
        <w:ind w:left="1521" w:right="1732"/>
        <w:jc w:val="both"/>
      </w:pPr>
      <w:r>
        <w:rPr/>
        <w:t>Where you anticipate quota usage shortfalls, there is an option to transfer allocations between importers. You can apply for a transfer by completing a Transfer of Base Quota (Cheese and Curd) form (form B235) and submitting it to:</w:t>
      </w:r>
    </w:p>
    <w:p>
      <w:pPr>
        <w:pStyle w:val="BodyText"/>
      </w:pPr>
    </w:p>
    <w:p>
      <w:pPr>
        <w:pStyle w:val="BodyText"/>
        <w:spacing w:before="8"/>
        <w:rPr>
          <w:sz w:val="18"/>
        </w:rPr>
      </w:pPr>
    </w:p>
    <w:p>
      <w:pPr>
        <w:pStyle w:val="BodyText"/>
        <w:spacing w:line="233" w:lineRule="exact" w:before="1"/>
        <w:ind w:left="2241"/>
      </w:pPr>
      <w:r>
        <w:rPr/>
        <w:t>Director Tariff Concessions</w:t>
      </w:r>
    </w:p>
    <w:p>
      <w:pPr>
        <w:pStyle w:val="BodyText"/>
        <w:spacing w:line="235" w:lineRule="auto" w:before="1"/>
        <w:ind w:left="2241" w:right="4841"/>
      </w:pPr>
      <w:r>
        <w:rPr/>
        <w:t>Australian Customs and Border Protection Service Customs House</w:t>
      </w:r>
    </w:p>
    <w:p>
      <w:pPr>
        <w:pStyle w:val="BodyText"/>
        <w:spacing w:line="235" w:lineRule="auto"/>
        <w:ind w:left="2241" w:right="6270"/>
      </w:pPr>
      <w:r>
        <w:rPr/>
        <w:t>5 Constitution Avenue CANBERRA CITY ACT 2601</w:t>
      </w:r>
    </w:p>
    <w:p>
      <w:pPr>
        <w:pStyle w:val="BodyText"/>
        <w:spacing w:before="5"/>
        <w:rPr>
          <w:sz w:val="19"/>
        </w:rPr>
      </w:pPr>
    </w:p>
    <w:p>
      <w:pPr>
        <w:pStyle w:val="BodyText"/>
        <w:spacing w:line="235" w:lineRule="auto"/>
        <w:ind w:left="1521" w:right="1592"/>
      </w:pPr>
      <w:r>
        <w:rPr/>
        <w:t>We deal with transfer requests in order of receipt and each request may take up to four working days to process. The transfer form is available on the Customs website </w:t>
      </w:r>
      <w:hyperlink r:id="rId6">
        <w:r>
          <w:rPr>
            <w:color w:val="0000FF"/>
            <w:u w:val="single" w:color="0000FF"/>
          </w:rPr>
          <w:t>www.customs.gov.au</w:t>
        </w:r>
      </w:hyperlink>
      <w:r>
        <w:rPr>
          <w:color w:val="0000FF"/>
        </w:rPr>
        <w:t> </w:t>
      </w:r>
      <w:r>
        <w:rPr/>
        <w:t>under Media Publications and Forms.</w:t>
      </w:r>
    </w:p>
    <w:p>
      <w:pPr>
        <w:pStyle w:val="BodyText"/>
        <w:spacing w:before="7"/>
        <w:rPr>
          <w:sz w:val="19"/>
        </w:rPr>
      </w:pPr>
    </w:p>
    <w:p>
      <w:pPr>
        <w:pStyle w:val="BodyText"/>
        <w:spacing w:line="235" w:lineRule="auto"/>
        <w:ind w:left="1521" w:right="1799"/>
        <w:jc w:val="both"/>
      </w:pPr>
      <w:r>
        <w:rPr/>
        <w:t>To facilitate efficient administration of the annual allocation, we urge importers and brokers to notify Customs and Border Protection of any changes to company details such as addresses, phone, email, fax and principal contact person.</w:t>
      </w:r>
    </w:p>
    <w:p>
      <w:pPr>
        <w:pStyle w:val="BodyText"/>
        <w:spacing w:before="1"/>
        <w:rPr>
          <w:sz w:val="19"/>
        </w:rPr>
      </w:pPr>
    </w:p>
    <w:p>
      <w:pPr>
        <w:pStyle w:val="BodyText"/>
        <w:spacing w:line="233" w:lineRule="exact"/>
        <w:ind w:left="1521"/>
      </w:pPr>
      <w:r>
        <w:rPr/>
        <w:t>You may direct any enquiries concerning this notice to Tariff Concessions on telephone</w:t>
      </w:r>
    </w:p>
    <w:p>
      <w:pPr>
        <w:pStyle w:val="BodyText"/>
        <w:spacing w:line="233" w:lineRule="exact"/>
        <w:ind w:left="1521"/>
      </w:pPr>
      <w:r>
        <w:rPr/>
        <w:t>(02) 6275 6483, or email</w:t>
      </w:r>
      <w:r>
        <w:rPr>
          <w:color w:val="0000FF"/>
        </w:rPr>
        <w:t> </w:t>
      </w:r>
      <w:hyperlink r:id="rId7">
        <w:r>
          <w:rPr>
            <w:color w:val="0000FF"/>
            <w:u w:val="single" w:color="0000FF"/>
          </w:rPr>
          <w:t>tarcon@customs.gov.au</w:t>
        </w:r>
      </w:hyperlink>
    </w:p>
    <w:p>
      <w:pPr>
        <w:pStyle w:val="BodyText"/>
      </w:pPr>
    </w:p>
    <w:p>
      <w:pPr>
        <w:pStyle w:val="BodyText"/>
      </w:pPr>
    </w:p>
    <w:p>
      <w:pPr>
        <w:pStyle w:val="BodyText"/>
        <w:spacing w:before="2"/>
        <w:rPr>
          <w:sz w:val="18"/>
        </w:rPr>
      </w:pPr>
    </w:p>
    <w:p>
      <w:pPr>
        <w:pStyle w:val="BodyText"/>
        <w:spacing w:line="233" w:lineRule="exact" w:before="1"/>
        <w:ind w:left="1521"/>
      </w:pPr>
      <w:r>
        <w:rPr/>
        <w:t>(Signed)</w:t>
      </w:r>
    </w:p>
    <w:p>
      <w:pPr>
        <w:pStyle w:val="BodyText"/>
        <w:spacing w:line="230" w:lineRule="exact"/>
        <w:ind w:left="1521"/>
      </w:pPr>
      <w:r>
        <w:rPr/>
        <w:t>Anthony</w:t>
      </w:r>
      <w:r>
        <w:rPr>
          <w:spacing w:val="-9"/>
        </w:rPr>
        <w:t> </w:t>
      </w:r>
      <w:r>
        <w:rPr/>
        <w:t>Seebach</w:t>
      </w:r>
    </w:p>
    <w:p>
      <w:pPr>
        <w:pStyle w:val="BodyText"/>
        <w:spacing w:line="235" w:lineRule="auto" w:before="1"/>
        <w:ind w:left="1521" w:right="7001"/>
      </w:pPr>
      <w:r>
        <w:rPr/>
        <w:t>National Manager, Trade</w:t>
      </w:r>
      <w:r>
        <w:rPr>
          <w:spacing w:val="-17"/>
        </w:rPr>
        <w:t> </w:t>
      </w:r>
      <w:r>
        <w:rPr/>
        <w:t>Services CANBERRA ACT</w:t>
      </w:r>
    </w:p>
    <w:p>
      <w:pPr>
        <w:pStyle w:val="BodyText"/>
        <w:spacing w:line="229" w:lineRule="exact"/>
        <w:ind w:left="1521"/>
      </w:pPr>
      <w:r>
        <w:rPr/>
        <w:t>18 April 2011</w:t>
      </w:r>
    </w:p>
    <w:sectPr>
      <w:pgSz w:w="11900" w:h="16840"/>
      <w:pgMar w:top="13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241" w:hanging="720"/>
      </w:pPr>
      <w:rPr>
        <w:rFonts w:hint="default" w:ascii="Symbol" w:hAnsi="Symbol" w:eastAsia="Symbol" w:cs="Symbol"/>
        <w:w w:val="99"/>
        <w:sz w:val="20"/>
        <w:szCs w:val="20"/>
      </w:rPr>
    </w:lvl>
    <w:lvl w:ilvl="1">
      <w:start w:val="0"/>
      <w:numFmt w:val="bullet"/>
      <w:lvlText w:val="•"/>
      <w:lvlJc w:val="left"/>
      <w:pPr>
        <w:ind w:left="3172" w:hanging="720"/>
      </w:pPr>
      <w:rPr>
        <w:rFonts w:hint="default"/>
      </w:rPr>
    </w:lvl>
    <w:lvl w:ilvl="2">
      <w:start w:val="0"/>
      <w:numFmt w:val="bullet"/>
      <w:lvlText w:val="•"/>
      <w:lvlJc w:val="left"/>
      <w:pPr>
        <w:ind w:left="4104" w:hanging="720"/>
      </w:pPr>
      <w:rPr>
        <w:rFonts w:hint="default"/>
      </w:rPr>
    </w:lvl>
    <w:lvl w:ilvl="3">
      <w:start w:val="0"/>
      <w:numFmt w:val="bullet"/>
      <w:lvlText w:val="•"/>
      <w:lvlJc w:val="left"/>
      <w:pPr>
        <w:ind w:left="503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900" w:hanging="720"/>
      </w:pPr>
      <w:rPr>
        <w:rFonts w:hint="default"/>
      </w:rPr>
    </w:lvl>
    <w:lvl w:ilvl="6">
      <w:start w:val="0"/>
      <w:numFmt w:val="bullet"/>
      <w:lvlText w:val="•"/>
      <w:lvlJc w:val="left"/>
      <w:pPr>
        <w:ind w:left="7832" w:hanging="720"/>
      </w:pPr>
      <w:rPr>
        <w:rFonts w:hint="default"/>
      </w:rPr>
    </w:lvl>
    <w:lvl w:ilvl="7">
      <w:start w:val="0"/>
      <w:numFmt w:val="bullet"/>
      <w:lvlText w:val="•"/>
      <w:lvlJc w:val="left"/>
      <w:pPr>
        <w:ind w:left="8764" w:hanging="720"/>
      </w:pPr>
      <w:rPr>
        <w:rFonts w:hint="default"/>
      </w:rPr>
    </w:lvl>
    <w:lvl w:ilvl="8">
      <w:start w:val="0"/>
      <w:numFmt w:val="bullet"/>
      <w:lvlText w:val="•"/>
      <w:lvlJc w:val="left"/>
      <w:pPr>
        <w:ind w:left="9696" w:hanging="720"/>
      </w:pPr>
      <w:rPr>
        <w:rFonts w:hint="default"/>
      </w:rPr>
    </w:lvl>
  </w:abstractNum>
  <w:abstractNum w:abstractNumId="0">
    <w:multiLevelType w:val="hybridMultilevel"/>
    <w:lvl w:ilvl="0">
      <w:start w:val="1"/>
      <w:numFmt w:val="lowerLetter"/>
      <w:lvlText w:val="(%1)"/>
      <w:lvlJc w:val="left"/>
      <w:pPr>
        <w:ind w:left="2241" w:hanging="720"/>
        <w:jc w:val="left"/>
      </w:pPr>
      <w:rPr>
        <w:rFonts w:hint="default" w:ascii="Helvetica" w:hAnsi="Helvetica" w:eastAsia="Helvetica" w:cs="Helvetica"/>
        <w:spacing w:val="-1"/>
        <w:w w:val="99"/>
        <w:sz w:val="20"/>
        <w:szCs w:val="20"/>
      </w:rPr>
    </w:lvl>
    <w:lvl w:ilvl="1">
      <w:start w:val="0"/>
      <w:numFmt w:val="bullet"/>
      <w:lvlText w:val="•"/>
      <w:lvlJc w:val="left"/>
      <w:pPr>
        <w:ind w:left="3172" w:hanging="720"/>
      </w:pPr>
      <w:rPr>
        <w:rFonts w:hint="default"/>
      </w:rPr>
    </w:lvl>
    <w:lvl w:ilvl="2">
      <w:start w:val="0"/>
      <w:numFmt w:val="bullet"/>
      <w:lvlText w:val="•"/>
      <w:lvlJc w:val="left"/>
      <w:pPr>
        <w:ind w:left="4104" w:hanging="720"/>
      </w:pPr>
      <w:rPr>
        <w:rFonts w:hint="default"/>
      </w:rPr>
    </w:lvl>
    <w:lvl w:ilvl="3">
      <w:start w:val="0"/>
      <w:numFmt w:val="bullet"/>
      <w:lvlText w:val="•"/>
      <w:lvlJc w:val="left"/>
      <w:pPr>
        <w:ind w:left="503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900" w:hanging="720"/>
      </w:pPr>
      <w:rPr>
        <w:rFonts w:hint="default"/>
      </w:rPr>
    </w:lvl>
    <w:lvl w:ilvl="6">
      <w:start w:val="0"/>
      <w:numFmt w:val="bullet"/>
      <w:lvlText w:val="•"/>
      <w:lvlJc w:val="left"/>
      <w:pPr>
        <w:ind w:left="7832" w:hanging="720"/>
      </w:pPr>
      <w:rPr>
        <w:rFonts w:hint="default"/>
      </w:rPr>
    </w:lvl>
    <w:lvl w:ilvl="7">
      <w:start w:val="0"/>
      <w:numFmt w:val="bullet"/>
      <w:lvlText w:val="•"/>
      <w:lvlJc w:val="left"/>
      <w:pPr>
        <w:ind w:left="8764" w:hanging="720"/>
      </w:pPr>
      <w:rPr>
        <w:rFonts w:hint="default"/>
      </w:rPr>
    </w:lvl>
    <w:lvl w:ilvl="8">
      <w:start w:val="0"/>
      <w:numFmt w:val="bullet"/>
      <w:lvlText w:val="•"/>
      <w:lvlJc w:val="left"/>
      <w:pPr>
        <w:ind w:left="9696"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52"/>
      <w:ind w:left="1667" w:right="1679"/>
      <w:jc w:val="center"/>
    </w:pPr>
    <w:rPr>
      <w:rFonts w:ascii="Helvetica" w:hAnsi="Helvetica" w:eastAsia="Helvetica" w:cs="Helvetica"/>
      <w:b/>
      <w:bCs/>
      <w:sz w:val="32"/>
      <w:szCs w:val="32"/>
    </w:rPr>
  </w:style>
  <w:style w:styleId="ListParagraph" w:type="paragraph">
    <w:name w:val="List Paragraph"/>
    <w:basedOn w:val="Normal"/>
    <w:uiPriority w:val="1"/>
    <w:qFormat/>
    <w:pPr>
      <w:spacing w:before="1"/>
      <w:ind w:left="2241" w:hanging="721"/>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mailto:tarcon@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c8aps</dc:creator>
  <dc:title>Microsoft Word - ACN Cheese Quota 2011-2012.doc</dc:title>
  <dcterms:created xsi:type="dcterms:W3CDTF">2020-12-09T22:14:52Z</dcterms:created>
  <dcterms:modified xsi:type="dcterms:W3CDTF">2020-12-09T22:14:52Z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2011-04-30T00:00:00Z</vt:filetime>
  </property>
  <property fmtid="{D5CDD505-2E9C-101B-9397-08002B2CF9AE}" pid="3" name="Creator">
    <vt:lpwstr>PScript5.dll Version 5.2.2</vt:lpwstr>
  </property>
  <property fmtid="{D5CDD505-2E9C-101B-9397-08002B2CF9AE}" pid="4" name="LastSaved">
    <vt:filetime>2020-12-09T00:00:00Z</vt:filetime>
  </property>
</Properties>
</file>