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ge;z-index:-15762944" from="2.88832pt,133.1754pt" to="575.257152pt,133.1754pt" stroked="true" strokeweight="6.730887pt" strokecolor="#000000">
            <v:stroke dashstyle="solid"/>
            <w10:wrap type="none"/>
          </v:line>
        </w:pict>
      </w:r>
    </w:p>
    <w:p>
      <w:pPr>
        <w:pStyle w:val="Title"/>
      </w:pPr>
      <w:r>
        <w:rPr/>
        <w:pict>
          <v:shape style="position:absolute;margin-left:121.309456pt;margin-top:23.720392pt;width:131.9pt;height:.1pt;mso-position-horizontal-relative:page;mso-position-vertical-relative:paragraph;z-index:-15728640;mso-wrap-distance-left:0;mso-wrap-distance-right:0" coordorigin="2426,474" coordsize="2638,0" path="m2426,474l5064,474e" filled="false" stroked="true" strokeweight=".480778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593020</wp:posOffset>
            </wp:positionH>
            <wp:positionV relativeFrom="paragraph">
              <wp:posOffset>-95632</wp:posOffset>
            </wp:positionV>
            <wp:extent cx="874246" cy="65332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246" cy="65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</w:rPr>
      </w:r>
      <w:r>
        <w:rPr>
          <w:color w:val="1F3874"/>
        </w:rPr>
        <w:t>Australian Government</w:t>
      </w:r>
    </w:p>
    <w:p>
      <w:pPr>
        <w:spacing w:before="49"/>
        <w:ind w:left="1614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1F3874"/>
          <w:w w:val="105"/>
          <w:sz w:val="23"/>
        </w:rPr>
        <w:t>Australian </w:t>
      </w:r>
      <w:r>
        <w:rPr>
          <w:rFonts w:ascii="Times New Roman"/>
          <w:b/>
          <w:color w:val="314982"/>
          <w:w w:val="105"/>
          <w:sz w:val="23"/>
        </w:rPr>
        <w:t>Cus</w:t>
      </w:r>
      <w:r>
        <w:rPr>
          <w:rFonts w:ascii="Times New Roman"/>
          <w:b/>
          <w:color w:val="112667"/>
          <w:w w:val="105"/>
          <w:sz w:val="23"/>
        </w:rPr>
        <w:t>t</w:t>
      </w:r>
      <w:r>
        <w:rPr>
          <w:rFonts w:ascii="Times New Roman"/>
          <w:b/>
          <w:color w:val="314982"/>
          <w:w w:val="105"/>
          <w:sz w:val="23"/>
        </w:rPr>
        <w:t>o</w:t>
      </w:r>
      <w:r>
        <w:rPr>
          <w:rFonts w:ascii="Times New Roman"/>
          <w:b/>
          <w:color w:val="112667"/>
          <w:w w:val="105"/>
          <w:sz w:val="23"/>
        </w:rPr>
        <w:t>m</w:t>
      </w:r>
      <w:r>
        <w:rPr>
          <w:rFonts w:ascii="Times New Roman"/>
          <w:b/>
          <w:color w:val="314982"/>
          <w:w w:val="105"/>
          <w:sz w:val="23"/>
        </w:rPr>
        <w:t>s and</w:t>
      </w:r>
    </w:p>
    <w:p>
      <w:pPr>
        <w:pStyle w:val="Heading1"/>
        <w:spacing w:before="15"/>
        <w:rPr>
          <w:rFonts w:ascii="Times New Roman"/>
        </w:rPr>
      </w:pPr>
      <w:r>
        <w:rPr>
          <w:rFonts w:ascii="Times New Roman"/>
          <w:color w:val="112667"/>
        </w:rPr>
        <w:t>Border Protecti</w:t>
      </w:r>
      <w:r>
        <w:rPr>
          <w:rFonts w:ascii="Times New Roman"/>
          <w:color w:val="314982"/>
        </w:rPr>
        <w:t>o</w:t>
      </w:r>
      <w:r>
        <w:rPr>
          <w:rFonts w:ascii="Times New Roman"/>
          <w:color w:val="112667"/>
        </w:rPr>
        <w:t>n </w:t>
      </w:r>
      <w:r>
        <w:rPr>
          <w:rFonts w:ascii="Times New Roman"/>
          <w:color w:val="314982"/>
        </w:rPr>
        <w:t>Service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7"/>
        </w:rPr>
      </w:pPr>
    </w:p>
    <w:p>
      <w:pPr>
        <w:spacing w:before="1"/>
        <w:ind w:left="1857" w:right="1328" w:firstLine="0"/>
        <w:jc w:val="center"/>
        <w:rPr>
          <w:b/>
          <w:sz w:val="27"/>
        </w:rPr>
      </w:pPr>
      <w:r>
        <w:rPr/>
        <w:pict>
          <v:shape style="position:absolute;margin-left:74.13356pt;margin-top:17.039722pt;width:430.85pt;height:.1pt;mso-position-horizontal-relative:page;mso-position-vertical-relative:paragraph;z-index:-15728128;mso-wrap-distance-left:0;mso-wrap-distance-right:0" coordorigin="1483,341" coordsize="8617,0" path="m1483,341l10099,341e" filled="false" stroked="true" strokeweight=".480778pt" strokecolor="#000000">
            <v:path arrowok="t"/>
            <v:stroke dashstyle="solid"/>
            <w10:wrap type="topAndBottom"/>
          </v:shape>
        </w:pict>
      </w:r>
      <w:r>
        <w:rPr>
          <w:b/>
          <w:color w:val="070305"/>
          <w:w w:val="105"/>
          <w:sz w:val="27"/>
        </w:rPr>
        <w:t>AUSTRALIAN CUSTOMS NOTICE NO. 2011/2</w:t>
      </w:r>
      <w:r>
        <w:rPr>
          <w:b/>
          <w:color w:val="21161D"/>
          <w:w w:val="105"/>
          <w:sz w:val="27"/>
        </w:rPr>
        <w:t>3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Heading1"/>
        <w:ind w:left="1854" w:right="1328"/>
        <w:jc w:val="center"/>
      </w:pPr>
      <w:r>
        <w:rPr>
          <w:color w:val="070305"/>
          <w:w w:val="110"/>
        </w:rPr>
        <w:t>Application fo</w:t>
      </w:r>
      <w:r>
        <w:rPr>
          <w:color w:val="21161D"/>
          <w:w w:val="110"/>
        </w:rPr>
        <w:t>r </w:t>
      </w:r>
      <w:r>
        <w:rPr>
          <w:color w:val="070305"/>
          <w:w w:val="110"/>
        </w:rPr>
        <w:t>Customs Broker Licen</w:t>
      </w:r>
      <w:r>
        <w:rPr>
          <w:color w:val="21161D"/>
          <w:w w:val="110"/>
        </w:rPr>
        <w:t>c</w:t>
      </w:r>
      <w:r>
        <w:rPr>
          <w:color w:val="070305"/>
          <w:w w:val="110"/>
        </w:rPr>
        <w:t>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before="94"/>
        <w:ind w:left="677"/>
      </w:pPr>
      <w:r>
        <w:rPr>
          <w:color w:val="3F3B44"/>
          <w:w w:val="105"/>
        </w:rPr>
        <w:t>The </w:t>
      </w:r>
      <w:r>
        <w:rPr>
          <w:color w:val="524F56"/>
          <w:w w:val="105"/>
        </w:rPr>
        <w:t>follow</w:t>
      </w:r>
      <w:r>
        <w:rPr>
          <w:color w:val="312A34"/>
          <w:w w:val="105"/>
        </w:rPr>
        <w:t>in</w:t>
      </w:r>
      <w:r>
        <w:rPr>
          <w:color w:val="524F56"/>
          <w:w w:val="105"/>
        </w:rPr>
        <w:t>g pe</w:t>
      </w:r>
      <w:r>
        <w:rPr>
          <w:color w:val="312A34"/>
          <w:w w:val="105"/>
        </w:rPr>
        <w:t>r</w:t>
      </w:r>
      <w:r>
        <w:rPr>
          <w:color w:val="524F56"/>
          <w:w w:val="105"/>
        </w:rPr>
        <w:t>so</w:t>
      </w:r>
      <w:r>
        <w:rPr>
          <w:color w:val="312A34"/>
          <w:w w:val="105"/>
        </w:rPr>
        <w:t>n</w:t>
      </w:r>
      <w:r>
        <w:rPr>
          <w:color w:val="524F56"/>
          <w:w w:val="105"/>
        </w:rPr>
        <w:t>s have applied to </w:t>
      </w:r>
      <w:r>
        <w:rPr>
          <w:color w:val="312A34"/>
          <w:w w:val="105"/>
        </w:rPr>
        <w:t>t</w:t>
      </w:r>
      <w:r>
        <w:rPr>
          <w:color w:val="524F56"/>
          <w:w w:val="105"/>
        </w:rPr>
        <w:t>he Chief </w:t>
      </w:r>
      <w:r>
        <w:rPr>
          <w:color w:val="312A34"/>
          <w:w w:val="105"/>
        </w:rPr>
        <w:t>E</w:t>
      </w:r>
      <w:r>
        <w:rPr>
          <w:color w:val="524F56"/>
          <w:w w:val="105"/>
        </w:rPr>
        <w:t>xecutive Officer for a Customs broker </w:t>
      </w:r>
      <w:r>
        <w:rPr>
          <w:color w:val="3F3B44"/>
          <w:w w:val="105"/>
        </w:rPr>
        <w:t>l</w:t>
      </w:r>
      <w:r>
        <w:rPr>
          <w:color w:val="757479"/>
          <w:w w:val="105"/>
        </w:rPr>
        <w:t>i</w:t>
      </w:r>
      <w:r>
        <w:rPr>
          <w:color w:val="524F56"/>
          <w:w w:val="105"/>
        </w:rPr>
        <w:t>cence.</w:t>
      </w: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74.614944pt;margin-top:11.964262pt;width:218.55pt;height:.1pt;mso-position-horizontal-relative:page;mso-position-vertical-relative:paragraph;z-index:-15727616;mso-wrap-distance-left:0;mso-wrap-distance-right:0" coordorigin="1492,239" coordsize="4371,0" path="m1492,239l5863,239e" filled="false" stroked="true" strokeweight=".48077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792"/>
      </w:pPr>
      <w:r>
        <w:rPr>
          <w:color w:val="312A34"/>
          <w:w w:val="110"/>
        </w:rPr>
        <w:t>PINE</w:t>
      </w:r>
      <w:r>
        <w:rPr>
          <w:color w:val="524F56"/>
          <w:w w:val="110"/>
        </w:rPr>
        <w:t>, </w:t>
      </w:r>
      <w:r>
        <w:rPr>
          <w:color w:val="3F3B44"/>
          <w:w w:val="110"/>
        </w:rPr>
        <w:t>Kerry </w:t>
      </w:r>
      <w:r>
        <w:rPr>
          <w:color w:val="524F56"/>
          <w:w w:val="110"/>
        </w:rPr>
        <w:t>A</w:t>
      </w:r>
      <w:r>
        <w:rPr>
          <w:color w:val="312A34"/>
          <w:w w:val="110"/>
        </w:rPr>
        <w:t>n</w:t>
      </w:r>
      <w:r>
        <w:rPr>
          <w:color w:val="524F56"/>
          <w:w w:val="110"/>
        </w:rPr>
        <w:t>n</w:t>
      </w:r>
    </w:p>
    <w:p>
      <w:pPr>
        <w:pStyle w:val="BodyText"/>
        <w:tabs>
          <w:tab w:pos="5219" w:val="left" w:leader="none"/>
        </w:tabs>
        <w:spacing w:before="12"/>
        <w:ind w:left="672"/>
      </w:pPr>
      <w:r>
        <w:rPr>
          <w:color w:val="3F3B44"/>
          <w:w w:val="100"/>
          <w:u w:val="single" w:color="000000"/>
        </w:rPr>
        <w:t> </w:t>
      </w:r>
      <w:r>
        <w:rPr>
          <w:color w:val="3F3B44"/>
          <w:u w:val="single" w:color="000000"/>
        </w:rPr>
        <w:t> </w:t>
      </w:r>
      <w:r>
        <w:rPr>
          <w:color w:val="3F3B44"/>
          <w:spacing w:val="9"/>
          <w:u w:val="single" w:color="000000"/>
        </w:rPr>
        <w:t> </w:t>
      </w:r>
      <w:r>
        <w:rPr>
          <w:color w:val="3F3B44"/>
          <w:w w:val="105"/>
          <w:u w:val="single" w:color="000000"/>
        </w:rPr>
        <w:t>KOLARIK,</w:t>
      </w:r>
      <w:r>
        <w:rPr>
          <w:color w:val="3F3B44"/>
          <w:spacing w:val="16"/>
          <w:w w:val="105"/>
          <w:u w:val="single" w:color="000000"/>
        </w:rPr>
        <w:t> </w:t>
      </w:r>
      <w:r>
        <w:rPr>
          <w:color w:val="3F3B44"/>
          <w:w w:val="105"/>
          <w:u w:val="single" w:color="000000"/>
        </w:rPr>
        <w:t>Jan</w:t>
      </w:r>
      <w:r>
        <w:rPr>
          <w:color w:val="3F3B44"/>
          <w:u w:val="single" w:color="000000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64" w:lineRule="auto"/>
        <w:ind w:left="675" w:right="249" w:firstLine="7"/>
      </w:pPr>
      <w:r>
        <w:rPr>
          <w:color w:val="3F3B44"/>
          <w:w w:val="105"/>
        </w:rPr>
        <w:t>Any persons </w:t>
      </w:r>
      <w:r>
        <w:rPr>
          <w:color w:val="524F56"/>
          <w:w w:val="105"/>
        </w:rPr>
        <w:t>wishing </w:t>
      </w:r>
      <w:r>
        <w:rPr>
          <w:color w:val="312A34"/>
          <w:w w:val="105"/>
        </w:rPr>
        <w:t>t</w:t>
      </w:r>
      <w:r>
        <w:rPr>
          <w:color w:val="524F56"/>
          <w:w w:val="105"/>
        </w:rPr>
        <w:t>o make writte</w:t>
      </w:r>
      <w:r>
        <w:rPr>
          <w:color w:val="312A34"/>
          <w:w w:val="105"/>
        </w:rPr>
        <w:t>n </w:t>
      </w:r>
      <w:r>
        <w:rPr>
          <w:color w:val="524F56"/>
          <w:w w:val="105"/>
        </w:rPr>
        <w:t>representation in </w:t>
      </w:r>
      <w:r>
        <w:rPr>
          <w:color w:val="3F3B44"/>
          <w:w w:val="105"/>
        </w:rPr>
        <w:t>respect </w:t>
      </w:r>
      <w:r>
        <w:rPr>
          <w:color w:val="524F56"/>
          <w:w w:val="105"/>
        </w:rPr>
        <w:t>of these applications should address </w:t>
      </w:r>
      <w:r>
        <w:rPr>
          <w:color w:val="3F3B44"/>
          <w:w w:val="105"/>
        </w:rPr>
        <w:t>the </w:t>
      </w:r>
      <w:r>
        <w:rPr>
          <w:color w:val="524F56"/>
          <w:w w:val="105"/>
        </w:rPr>
        <w:t>correspondence by 18 </w:t>
      </w:r>
      <w:r>
        <w:rPr>
          <w:color w:val="3F3B44"/>
          <w:w w:val="105"/>
        </w:rPr>
        <w:t>July </w:t>
      </w:r>
      <w:r>
        <w:rPr>
          <w:color w:val="524F56"/>
          <w:w w:val="105"/>
        </w:rPr>
        <w:t>2011 </w:t>
      </w:r>
      <w:r>
        <w:rPr>
          <w:color w:val="3F3B44"/>
          <w:w w:val="105"/>
        </w:rPr>
        <w:t>to: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677"/>
      </w:pPr>
      <w:r>
        <w:rPr>
          <w:color w:val="524F56"/>
          <w:w w:val="110"/>
        </w:rPr>
        <w:t>B</w:t>
      </w:r>
      <w:r>
        <w:rPr>
          <w:color w:val="312A34"/>
          <w:w w:val="110"/>
        </w:rPr>
        <w:t>r</w:t>
      </w:r>
      <w:r>
        <w:rPr>
          <w:color w:val="524F56"/>
          <w:w w:val="110"/>
        </w:rPr>
        <w:t>oke</w:t>
      </w:r>
      <w:r>
        <w:rPr>
          <w:color w:val="312A34"/>
          <w:w w:val="110"/>
        </w:rPr>
        <w:t>r L</w:t>
      </w:r>
      <w:r>
        <w:rPr>
          <w:color w:val="070305"/>
          <w:w w:val="110"/>
        </w:rPr>
        <w:t>i</w:t>
      </w:r>
      <w:r>
        <w:rPr>
          <w:color w:val="524F56"/>
          <w:w w:val="110"/>
        </w:rPr>
        <w:t>ce</w:t>
      </w:r>
      <w:r>
        <w:rPr>
          <w:color w:val="312A34"/>
          <w:w w:val="110"/>
        </w:rPr>
        <w:t>n</w:t>
      </w:r>
      <w:r>
        <w:rPr>
          <w:color w:val="524F56"/>
          <w:w w:val="110"/>
        </w:rPr>
        <w:t>si</w:t>
      </w:r>
      <w:r>
        <w:rPr>
          <w:color w:val="312A34"/>
          <w:w w:val="110"/>
        </w:rPr>
        <w:t>n</w:t>
      </w:r>
      <w:r>
        <w:rPr>
          <w:color w:val="524F56"/>
          <w:w w:val="110"/>
        </w:rPr>
        <w:t>g</w:t>
      </w:r>
    </w:p>
    <w:p>
      <w:pPr>
        <w:pStyle w:val="BodyText"/>
        <w:spacing w:line="254" w:lineRule="auto" w:before="22"/>
        <w:ind w:left="683" w:right="6177" w:hanging="2"/>
      </w:pPr>
      <w:r>
        <w:rPr>
          <w:color w:val="3F3B44"/>
          <w:w w:val="105"/>
        </w:rPr>
        <w:t>Australian </w:t>
      </w:r>
      <w:r>
        <w:rPr>
          <w:color w:val="524F56"/>
          <w:w w:val="105"/>
        </w:rPr>
        <w:t>Cus</w:t>
      </w:r>
      <w:r>
        <w:rPr>
          <w:color w:val="312A34"/>
          <w:w w:val="105"/>
        </w:rPr>
        <w:t>t</w:t>
      </w:r>
      <w:r>
        <w:rPr>
          <w:color w:val="524F56"/>
          <w:w w:val="105"/>
        </w:rPr>
        <w:t>oms </w:t>
      </w:r>
      <w:r>
        <w:rPr>
          <w:color w:val="3F3B44"/>
          <w:w w:val="105"/>
        </w:rPr>
        <w:t>Service </w:t>
      </w:r>
      <w:r>
        <w:rPr>
          <w:color w:val="524F56"/>
          <w:w w:val="105"/>
        </w:rPr>
        <w:t>5 </w:t>
      </w:r>
      <w:r>
        <w:rPr>
          <w:color w:val="3F3B44"/>
          <w:w w:val="105"/>
        </w:rPr>
        <w:t>Constitution Avenue</w:t>
      </w:r>
    </w:p>
    <w:p>
      <w:pPr>
        <w:pStyle w:val="BodyText"/>
        <w:spacing w:line="217" w:lineRule="exact"/>
        <w:ind w:left="682"/>
      </w:pPr>
      <w:r>
        <w:rPr>
          <w:color w:val="3F3B44"/>
          <w:w w:val="105"/>
        </w:rPr>
        <w:t>CANBERRA AC</w:t>
      </w:r>
      <w:r>
        <w:rPr>
          <w:color w:val="21161D"/>
          <w:w w:val="105"/>
        </w:rPr>
        <w:t>T </w:t>
      </w:r>
      <w:r>
        <w:rPr>
          <w:color w:val="524F56"/>
          <w:w w:val="105"/>
        </w:rPr>
        <w:t>2601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4"/>
        <w:ind w:left="682"/>
      </w:pPr>
      <w:r>
        <w:rPr>
          <w:color w:val="524F56"/>
          <w:w w:val="105"/>
        </w:rPr>
        <w:t>Or email: </w:t>
      </w:r>
      <w:hyperlink r:id="rId6">
        <w:r>
          <w:rPr>
            <w:color w:val="5D70BF"/>
            <w:w w:val="105"/>
            <w:u w:val="thick" w:color="5D70BF"/>
          </w:rPr>
          <w:t>brokers</w:t>
        </w:r>
        <w:r>
          <w:rPr>
            <w:color w:val="8797D4"/>
            <w:w w:val="105"/>
            <w:u w:val="thick" w:color="5D70BF"/>
          </w:rPr>
          <w:t>.</w:t>
        </w:r>
        <w:r>
          <w:rPr>
            <w:color w:val="5D70BF"/>
            <w:w w:val="105"/>
            <w:u w:val="thick" w:color="5D70BF"/>
          </w:rPr>
          <w:t>licensinq@customs.gov</w:t>
        </w:r>
        <w:r>
          <w:rPr>
            <w:color w:val="8797D4"/>
            <w:w w:val="105"/>
            <w:u w:val="thick" w:color="5D70BF"/>
          </w:rPr>
          <w:t>.</w:t>
        </w:r>
        <w:r>
          <w:rPr>
            <w:color w:val="5D70BF"/>
            <w:w w:val="105"/>
            <w:u w:val="thick" w:color="5D70BF"/>
          </w:rPr>
          <w:t>au</w:t>
        </w:r>
      </w:hyperlink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4" w:lineRule="auto"/>
        <w:ind w:left="675" w:right="249" w:firstLine="1"/>
      </w:pPr>
      <w:r>
        <w:rPr>
          <w:color w:val="3F3B44"/>
          <w:w w:val="105"/>
        </w:rPr>
        <w:t>Principles of </w:t>
      </w:r>
      <w:r>
        <w:rPr>
          <w:color w:val="524F56"/>
          <w:w w:val="105"/>
        </w:rPr>
        <w:t>procedura</w:t>
      </w:r>
      <w:r>
        <w:rPr>
          <w:color w:val="21161D"/>
          <w:w w:val="105"/>
        </w:rPr>
        <w:t>l </w:t>
      </w:r>
      <w:r>
        <w:rPr>
          <w:color w:val="524F56"/>
          <w:w w:val="105"/>
        </w:rPr>
        <w:t>fairness in respect of information that </w:t>
      </w:r>
      <w:r>
        <w:rPr>
          <w:color w:val="3F3B44"/>
          <w:w w:val="105"/>
        </w:rPr>
        <w:t>is </w:t>
      </w:r>
      <w:r>
        <w:rPr>
          <w:color w:val="524F56"/>
          <w:w w:val="105"/>
        </w:rPr>
        <w:t>potentially adverse to the applicant </w:t>
      </w:r>
      <w:r>
        <w:rPr>
          <w:color w:val="3F3B44"/>
          <w:w w:val="105"/>
        </w:rPr>
        <w:t>wil</w:t>
      </w:r>
      <w:r>
        <w:rPr>
          <w:color w:val="21161D"/>
          <w:w w:val="105"/>
        </w:rPr>
        <w:t>l </w:t>
      </w:r>
      <w:r>
        <w:rPr>
          <w:color w:val="524F56"/>
          <w:w w:val="105"/>
        </w:rPr>
        <w:t>be appl</w:t>
      </w:r>
      <w:r>
        <w:rPr>
          <w:color w:val="21161D"/>
          <w:w w:val="105"/>
        </w:rPr>
        <w:t>i</w:t>
      </w:r>
      <w:r>
        <w:rPr>
          <w:color w:val="524F56"/>
          <w:w w:val="105"/>
        </w:rPr>
        <w:t>ed and if information is </w:t>
      </w:r>
      <w:r>
        <w:rPr>
          <w:color w:val="3F3B44"/>
          <w:w w:val="105"/>
        </w:rPr>
        <w:t>received that </w:t>
      </w:r>
      <w:r>
        <w:rPr>
          <w:color w:val="524F56"/>
          <w:w w:val="105"/>
        </w:rPr>
        <w:t>is considered credible</w:t>
      </w:r>
      <w:r>
        <w:rPr>
          <w:color w:val="83858A"/>
          <w:w w:val="105"/>
        </w:rPr>
        <w:t>, </w:t>
      </w:r>
      <w:r>
        <w:rPr>
          <w:color w:val="524F56"/>
          <w:w w:val="105"/>
        </w:rPr>
        <w:t>relevant and significant, </w:t>
      </w:r>
      <w:r>
        <w:rPr>
          <w:color w:val="312A34"/>
          <w:w w:val="105"/>
        </w:rPr>
        <w:t>t</w:t>
      </w:r>
      <w:r>
        <w:rPr>
          <w:color w:val="524F56"/>
          <w:w w:val="105"/>
        </w:rPr>
        <w:t>he appl</w:t>
      </w:r>
      <w:r>
        <w:rPr>
          <w:color w:val="312A34"/>
          <w:w w:val="105"/>
        </w:rPr>
        <w:t>i</w:t>
      </w:r>
      <w:r>
        <w:rPr>
          <w:color w:val="524F56"/>
          <w:w w:val="105"/>
        </w:rPr>
        <w:t>cant will be made aware of </w:t>
      </w:r>
      <w:r>
        <w:rPr>
          <w:color w:val="3F3B44"/>
          <w:w w:val="105"/>
        </w:rPr>
        <w:t>the </w:t>
      </w:r>
      <w:r>
        <w:rPr>
          <w:color w:val="524F56"/>
          <w:w w:val="105"/>
        </w:rPr>
        <w:t>substance of the representation and given the </w:t>
      </w:r>
      <w:r>
        <w:rPr>
          <w:color w:val="312A34"/>
          <w:w w:val="105"/>
        </w:rPr>
        <w:t>opport</w:t>
      </w:r>
      <w:r>
        <w:rPr>
          <w:color w:val="524F56"/>
          <w:w w:val="105"/>
        </w:rPr>
        <w:t>unity to </w:t>
      </w:r>
      <w:r>
        <w:rPr>
          <w:color w:val="3F3B44"/>
          <w:w w:val="105"/>
        </w:rPr>
        <w:t>respond </w:t>
      </w:r>
      <w:r>
        <w:rPr>
          <w:color w:val="524F56"/>
          <w:w w:val="105"/>
        </w:rPr>
        <w:t>to </w:t>
      </w:r>
      <w:r>
        <w:rPr>
          <w:color w:val="312A34"/>
          <w:w w:val="105"/>
        </w:rPr>
        <w:t>t</w:t>
      </w:r>
      <w:r>
        <w:rPr>
          <w:color w:val="524F56"/>
          <w:w w:val="105"/>
        </w:rPr>
        <w:t>he </w:t>
      </w:r>
      <w:r>
        <w:rPr>
          <w:color w:val="3F3B44"/>
          <w:w w:val="105"/>
        </w:rPr>
        <w:t>representation</w:t>
      </w:r>
      <w:r>
        <w:rPr>
          <w:color w:val="757479"/>
          <w:w w:val="105"/>
        </w:rPr>
        <w:t>.</w:t>
      </w:r>
    </w:p>
    <w:p>
      <w:pPr>
        <w:pStyle w:val="BodyText"/>
        <w:spacing w:line="254" w:lineRule="auto" w:before="112"/>
        <w:ind w:left="675" w:right="986" w:firstLine="7"/>
      </w:pPr>
      <w:r>
        <w:rPr>
          <w:color w:val="3F3B44"/>
          <w:w w:val="105"/>
        </w:rPr>
        <w:t>Applicants will </w:t>
      </w:r>
      <w:r>
        <w:rPr>
          <w:color w:val="524F56"/>
          <w:w w:val="105"/>
        </w:rPr>
        <w:t>not be prov</w:t>
      </w:r>
      <w:r>
        <w:rPr>
          <w:color w:val="312A34"/>
          <w:w w:val="105"/>
        </w:rPr>
        <w:t>id</w:t>
      </w:r>
      <w:r>
        <w:rPr>
          <w:color w:val="524F56"/>
          <w:w w:val="105"/>
        </w:rPr>
        <w:t>ed </w:t>
      </w:r>
      <w:r>
        <w:rPr>
          <w:color w:val="3F3B44"/>
          <w:w w:val="105"/>
        </w:rPr>
        <w:t>with </w:t>
      </w:r>
      <w:r>
        <w:rPr>
          <w:color w:val="524F56"/>
          <w:w w:val="105"/>
        </w:rPr>
        <w:t>a copy of the communication and details of its author unless </w:t>
      </w:r>
      <w:r>
        <w:rPr>
          <w:color w:val="3F3B44"/>
          <w:w w:val="105"/>
        </w:rPr>
        <w:t>Customs </w:t>
      </w:r>
      <w:r>
        <w:rPr>
          <w:color w:val="524F56"/>
          <w:w w:val="105"/>
        </w:rPr>
        <w:t>and </w:t>
      </w:r>
      <w:r>
        <w:rPr>
          <w:color w:val="3F3B44"/>
          <w:w w:val="105"/>
        </w:rPr>
        <w:t>Border Protect</w:t>
      </w:r>
      <w:r>
        <w:rPr>
          <w:color w:val="21161D"/>
          <w:w w:val="105"/>
        </w:rPr>
        <w:t>i</w:t>
      </w:r>
      <w:r>
        <w:rPr>
          <w:color w:val="524F56"/>
          <w:w w:val="105"/>
        </w:rPr>
        <w:t>on is au</w:t>
      </w:r>
      <w:r>
        <w:rPr>
          <w:color w:val="312A34"/>
          <w:w w:val="105"/>
        </w:rPr>
        <w:t>t</w:t>
      </w:r>
      <w:r>
        <w:rPr>
          <w:color w:val="524F56"/>
          <w:w w:val="105"/>
        </w:rPr>
        <w:t>hor</w:t>
      </w:r>
      <w:r>
        <w:rPr>
          <w:color w:val="312A34"/>
          <w:w w:val="105"/>
        </w:rPr>
        <w:t>i</w:t>
      </w:r>
      <w:r>
        <w:rPr>
          <w:color w:val="524F56"/>
          <w:w w:val="105"/>
        </w:rPr>
        <w:t>sed </w:t>
      </w:r>
      <w:r>
        <w:rPr>
          <w:color w:val="3F3B44"/>
          <w:w w:val="105"/>
        </w:rPr>
        <w:t>by </w:t>
      </w:r>
      <w:r>
        <w:rPr>
          <w:color w:val="524F56"/>
          <w:w w:val="105"/>
        </w:rPr>
        <w:t>the author to fully </w:t>
      </w:r>
      <w:r>
        <w:rPr>
          <w:color w:val="3F3B44"/>
          <w:w w:val="105"/>
        </w:rPr>
        <w:t>disclose </w:t>
      </w:r>
      <w:r>
        <w:rPr>
          <w:color w:val="524F56"/>
          <w:w w:val="105"/>
        </w:rPr>
        <w:t>t</w:t>
      </w:r>
      <w:r>
        <w:rPr>
          <w:color w:val="312A34"/>
          <w:w w:val="105"/>
        </w:rPr>
        <w:t>h</w:t>
      </w:r>
      <w:r>
        <w:rPr>
          <w:color w:val="524F56"/>
          <w:w w:val="105"/>
        </w:rPr>
        <w:t>e </w:t>
      </w:r>
      <w:r>
        <w:rPr>
          <w:color w:val="3F3B44"/>
          <w:w w:val="105"/>
        </w:rPr>
        <w:t>representation</w:t>
      </w:r>
      <w:r>
        <w:rPr>
          <w:color w:val="757479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676"/>
      </w:pPr>
      <w:r>
        <w:rPr/>
        <w:pict>
          <v:line style="position:absolute;mso-position-horizontal-relative:page;mso-position-vertical-relative:paragraph;z-index:15731200" from="55.88533pt,1.699076pt" to="170.455334pt,1.699076pt" stroked="true" strokeweight="1.00162pt" strokecolor="#796eb5">
            <v:stroke dashstyle="solid"/>
            <w10:wrap type="none"/>
          </v:line>
        </w:pict>
      </w:r>
      <w:r>
        <w:rPr>
          <w:color w:val="3F3B44"/>
        </w:rPr>
        <w:t>Direc</w:t>
      </w:r>
      <w:r>
        <w:rPr>
          <w:color w:val="21161D"/>
        </w:rPr>
        <w:t>t</w:t>
      </w:r>
      <w:r>
        <w:rPr>
          <w:color w:val="3F3B44"/>
        </w:rPr>
        <w:t>or</w:t>
      </w:r>
    </w:p>
    <w:p>
      <w:pPr>
        <w:pStyle w:val="BodyText"/>
        <w:spacing w:line="254" w:lineRule="auto" w:before="3"/>
        <w:ind w:left="680" w:right="5767" w:firstLine="1"/>
      </w:pPr>
      <w:r>
        <w:rPr>
          <w:color w:val="3F3B44"/>
          <w:w w:val="105"/>
        </w:rPr>
        <w:t>Compliance Assurance Branch </w:t>
      </w:r>
      <w:r>
        <w:rPr>
          <w:color w:val="524F56"/>
          <w:w w:val="105"/>
        </w:rPr>
        <w:t>fo</w:t>
      </w:r>
      <w:r>
        <w:rPr>
          <w:color w:val="312A34"/>
          <w:w w:val="105"/>
        </w:rPr>
        <w:t>r</w:t>
      </w:r>
    </w:p>
    <w:p>
      <w:pPr>
        <w:pStyle w:val="BodyText"/>
        <w:spacing w:line="379" w:lineRule="auto"/>
        <w:ind w:left="676" w:right="6573" w:firstLine="5"/>
      </w:pPr>
      <w:r>
        <w:rPr>
          <w:color w:val="524F56"/>
          <w:w w:val="110"/>
        </w:rPr>
        <w:t>Chief Execu</w:t>
      </w:r>
      <w:r>
        <w:rPr>
          <w:color w:val="312A34"/>
          <w:w w:val="110"/>
        </w:rPr>
        <w:t>t</w:t>
      </w:r>
      <w:r>
        <w:rPr>
          <w:color w:val="524F56"/>
          <w:w w:val="110"/>
        </w:rPr>
        <w:t>ive </w:t>
      </w:r>
      <w:r>
        <w:rPr>
          <w:color w:val="3F3B44"/>
          <w:w w:val="110"/>
        </w:rPr>
        <w:t>Officer 28 June </w:t>
      </w:r>
      <w:r>
        <w:rPr>
          <w:color w:val="524F56"/>
          <w:w w:val="110"/>
        </w:rPr>
        <w:t>201</w:t>
      </w:r>
      <w:r>
        <w:rPr>
          <w:color w:val="312A34"/>
          <w:w w:val="110"/>
        </w:rPr>
        <w:t>1</w:t>
      </w:r>
    </w:p>
    <w:sectPr>
      <w:type w:val="continuous"/>
      <w:pgSz w:w="11900" w:h="16760"/>
      <w:pgMar w:top="1000" w:bottom="280" w:left="8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629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61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q@custom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2020-12-09T23:08:56Z</dcterms:created>
  <dcterms:modified xsi:type="dcterms:W3CDTF">2020-12-09T23:08:56Z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2011-06-28T00:00:00Z</vt:filetime>
  </property>
  <property fmtid="{D5CDD505-2E9C-101B-9397-08002B2CF9AE}" pid="3" name="LastSaved">
    <vt:filetime>2011-06-28T00:00:00Z</vt:filetime>
  </property>
</Properties>
</file>