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1"/>
        <w:rPr>
          <w:rFonts w:ascii="Times New Roman"/>
          <w:sz w:val="7"/>
        </w:rPr>
      </w:pPr>
    </w:p>
    <w:p>
      <w:pPr>
        <w:pStyle w:val="Title"/>
        <w:spacing w:before="90"/>
      </w:pPr>
      <w:bookmarkStart w:name="AUSTRALIAN CUSTOMS AND BORDER PROTECTION" w:id="1"/>
      <w:bookmarkEnd w:id="1"/>
      <w:r>
        <w:rPr>
          <w:b w:val="0"/>
        </w:rPr>
      </w:r>
      <w:r>
        <w:rPr/>
        <w:t>AUSTRALIAN CUSTOMS AND BORDER PROTECTION</w:t>
      </w:r>
    </w:p>
    <w:p>
      <w:pPr>
        <w:pStyle w:val="Title"/>
        <w:tabs>
          <w:tab w:pos="3340" w:val="left" w:leader="none"/>
          <w:tab w:pos="9377" w:val="left" w:leader="none"/>
        </w:tabs>
        <w:ind w:left="398"/>
      </w:pPr>
      <w:r>
        <w:rPr>
          <w:w w:val="100"/>
          <w:u w:val="single"/>
        </w:rPr>
        <w:t> </w:t>
      </w:r>
      <w:r>
        <w:rPr>
          <w:u w:val="single"/>
        </w:rPr>
        <w:tab/>
        <w:t>NOTICE NO.</w:t>
      </w:r>
      <w:r>
        <w:rPr>
          <w:spacing w:val="-2"/>
          <w:u w:val="single"/>
        </w:rPr>
        <w:t> </w:t>
      </w:r>
      <w:r>
        <w:rPr>
          <w:spacing w:val="-4"/>
          <w:u w:val="single"/>
        </w:rPr>
        <w:t>2011/47</w:t>
        <w:tab/>
      </w:r>
    </w:p>
    <w:p>
      <w:pPr>
        <w:pStyle w:val="BodyText"/>
        <w:spacing w:before="7"/>
        <w:rPr>
          <w:b/>
          <w:sz w:val="18"/>
        </w:rPr>
      </w:pPr>
    </w:p>
    <w:p>
      <w:pPr>
        <w:pStyle w:val="Heading1"/>
        <w:spacing w:before="93"/>
        <w:ind w:right="1360"/>
      </w:pPr>
      <w:bookmarkStart w:name="Taxation of alternative (gaseous) fuels " w:id="2"/>
      <w:bookmarkEnd w:id="2"/>
      <w:r>
        <w:rPr>
          <w:b w:val="0"/>
        </w:rPr>
      </w:r>
      <w:r>
        <w:rPr/>
        <w:t>Taxation of alternative (gaseous) fuels and changes relating to gasoline and diesel – effective from 1 December 2011 and 1 January 2012</w:t>
      </w:r>
    </w:p>
    <w:p>
      <w:pPr>
        <w:pStyle w:val="BodyText"/>
        <w:spacing w:before="229"/>
        <w:ind w:left="1521" w:right="1413"/>
      </w:pPr>
      <w:r>
        <w:rPr/>
        <w:t>Two legislative measures will affect the treatment of alternative (gaseous) fuels, and gasoline and diesel fuels, in the </w:t>
      </w:r>
      <w:r>
        <w:rPr>
          <w:i/>
        </w:rPr>
        <w:t>Customs Tariff Act 1995 </w:t>
      </w:r>
      <w:r>
        <w:rPr/>
        <w:t>(the Customs Tariff), from 1 December 2011 and 1 January 2012.</w:t>
      </w:r>
    </w:p>
    <w:p>
      <w:pPr>
        <w:pStyle w:val="BodyText"/>
        <w:spacing w:before="1"/>
      </w:pPr>
    </w:p>
    <w:p>
      <w:pPr>
        <w:spacing w:before="0"/>
        <w:ind w:left="1521" w:right="1258" w:firstLine="0"/>
        <w:jc w:val="left"/>
        <w:rPr>
          <w:sz w:val="20"/>
        </w:rPr>
      </w:pPr>
      <w:r>
        <w:rPr>
          <w:sz w:val="20"/>
          <w:u w:val="single"/>
        </w:rPr>
        <w:t>On 1 December 2011</w:t>
      </w:r>
      <w:r>
        <w:rPr>
          <w:sz w:val="20"/>
        </w:rPr>
        <w:t>, the </w:t>
      </w:r>
      <w:r>
        <w:rPr>
          <w:i/>
          <w:sz w:val="20"/>
        </w:rPr>
        <w:t>Customs Tariff Amendment (Taxation of Alternative Fuels) Act 2011 </w:t>
      </w:r>
      <w:r>
        <w:rPr>
          <w:sz w:val="20"/>
        </w:rPr>
        <w:t>(Act No. 65 of 2011) will impose duties of customs on gaseous fuels - liquefied natural gas (LNG), liquefied petroleum gas (LPG) and compressed natural gas (CNG).</w:t>
      </w:r>
    </w:p>
    <w:p>
      <w:pPr>
        <w:pStyle w:val="BodyText"/>
        <w:spacing w:before="10"/>
        <w:rPr>
          <w:sz w:val="19"/>
        </w:rPr>
      </w:pPr>
    </w:p>
    <w:p>
      <w:pPr>
        <w:pStyle w:val="BodyText"/>
        <w:spacing w:before="1"/>
        <w:ind w:left="1521" w:right="1245"/>
      </w:pPr>
      <w:r>
        <w:rPr/>
        <w:t>This Act also creates new subheadings to specify blends of gasoline and ethanol and diesel and ethanol, with consequential amendments to the classification of petroleum gasoline and diesel fuels in the </w:t>
      </w:r>
      <w:r>
        <w:rPr>
          <w:i/>
        </w:rPr>
        <w:t>Customs Tariff Act 1995 </w:t>
      </w:r>
      <w:r>
        <w:rPr/>
        <w:t>(the Customs Tariff). ACBPN 2011/22 and 2011/31 refer.</w:t>
      </w:r>
    </w:p>
    <w:p>
      <w:pPr>
        <w:pStyle w:val="BodyText"/>
        <w:rPr>
          <w:sz w:val="18"/>
        </w:rPr>
      </w:pPr>
    </w:p>
    <w:p>
      <w:pPr>
        <w:pStyle w:val="BodyText"/>
        <w:ind w:left="1521" w:right="1263"/>
      </w:pPr>
      <w:r>
        <w:rPr>
          <w:u w:val="single"/>
        </w:rPr>
        <w:t>On 1 January 2012,</w:t>
      </w:r>
      <w:r>
        <w:rPr/>
        <w:t> </w:t>
      </w:r>
      <w:r>
        <w:rPr>
          <w:sz w:val="18"/>
        </w:rPr>
        <w:t>t</w:t>
      </w:r>
      <w:r>
        <w:rPr/>
        <w:t>he </w:t>
      </w:r>
      <w:r>
        <w:rPr>
          <w:i/>
        </w:rPr>
        <w:t>Customs Tariff Amendment (2012 Harmonized System Changes) Act 2011 </w:t>
      </w:r>
      <w:r>
        <w:rPr/>
        <w:t>(Act No. 85 of 2011) will make further changes to the Customs Tariff that will impact on provisions relating to petroleum fuels, particularly light oils and preparations and biodiesel. ACBPN 2011/12 refers. Customs and Border Protection will issue a further Notice in the near future concerning the Harmonized System changes.</w:t>
      </w:r>
    </w:p>
    <w:p>
      <w:pPr>
        <w:pStyle w:val="BodyText"/>
        <w:spacing w:before="1"/>
      </w:pPr>
    </w:p>
    <w:p>
      <w:pPr>
        <w:pStyle w:val="Heading1"/>
      </w:pPr>
      <w:r>
        <w:rPr/>
        <w:t>Amendments operative from 1 December 2011 - duty rates for gaseous fuels</w:t>
      </w:r>
    </w:p>
    <w:p>
      <w:pPr>
        <w:pStyle w:val="BodyText"/>
        <w:spacing w:before="228"/>
        <w:ind w:left="1521" w:right="1269"/>
      </w:pPr>
      <w:r>
        <w:rPr/>
        <w:t>The </w:t>
      </w:r>
      <w:r>
        <w:rPr>
          <w:i/>
        </w:rPr>
        <w:t>Customs Tariff Amendment (Taxation of Alternative Fuels) Act 2011 </w:t>
      </w:r>
      <w:r>
        <w:rPr/>
        <w:t>(the Alternative Fuels Act) amends the Customs Tariff to impose customs duties on LNG, LPG and CNG used for transport purposes, with effect from 1 December 2011. The legislation also provides for increases in these rates of duty each July until 1 July 2015. Table 1 lists these rates of duty.</w:t>
      </w:r>
    </w:p>
    <w:p>
      <w:pPr>
        <w:pStyle w:val="BodyText"/>
        <w:spacing w:before="1"/>
      </w:pPr>
    </w:p>
    <w:p>
      <w:pPr>
        <w:pStyle w:val="BodyText"/>
        <w:spacing w:before="1"/>
        <w:ind w:left="1521"/>
      </w:pPr>
      <w:r>
        <w:rPr>
          <w:u w:val="single"/>
        </w:rPr>
        <w:t>Table 1 – Rates of duty and tariff classifications for gaseous fuels</w:t>
      </w:r>
    </w:p>
    <w:p>
      <w:pPr>
        <w:pStyle w:val="BodyText"/>
        <w:spacing w:before="1"/>
        <w:rPr>
          <w:sz w:val="24"/>
        </w:r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1980"/>
        <w:gridCol w:w="1980"/>
        <w:gridCol w:w="1980"/>
      </w:tblGrid>
      <w:tr>
        <w:trPr>
          <w:trHeight w:val="689" w:hRule="atLeast"/>
        </w:trPr>
        <w:tc>
          <w:tcPr>
            <w:tcW w:w="2808" w:type="dxa"/>
          </w:tcPr>
          <w:p>
            <w:pPr>
              <w:pStyle w:val="TableParagraph"/>
              <w:spacing w:line="228" w:lineRule="exact"/>
              <w:ind w:left="107"/>
              <w:rPr>
                <w:b/>
                <w:sz w:val="20"/>
              </w:rPr>
            </w:pPr>
            <w:r>
              <w:rPr>
                <w:b/>
                <w:sz w:val="20"/>
              </w:rPr>
              <w:t>Goods</w:t>
            </w:r>
          </w:p>
        </w:tc>
        <w:tc>
          <w:tcPr>
            <w:tcW w:w="1980" w:type="dxa"/>
          </w:tcPr>
          <w:p>
            <w:pPr>
              <w:pStyle w:val="TableParagraph"/>
              <w:ind w:left="106" w:right="210"/>
              <w:rPr>
                <w:b/>
                <w:sz w:val="20"/>
              </w:rPr>
            </w:pPr>
            <w:r>
              <w:rPr>
                <w:b/>
                <w:sz w:val="20"/>
              </w:rPr>
              <w:t>Liquefied Natural Gas (LNG)</w:t>
            </w:r>
          </w:p>
        </w:tc>
        <w:tc>
          <w:tcPr>
            <w:tcW w:w="1980" w:type="dxa"/>
          </w:tcPr>
          <w:p>
            <w:pPr>
              <w:pStyle w:val="TableParagraph"/>
              <w:spacing w:line="228" w:lineRule="exact"/>
              <w:ind w:left="106"/>
              <w:rPr>
                <w:b/>
                <w:sz w:val="20"/>
              </w:rPr>
            </w:pPr>
            <w:r>
              <w:rPr>
                <w:b/>
                <w:sz w:val="20"/>
              </w:rPr>
              <w:t>Liquefied</w:t>
            </w:r>
          </w:p>
          <w:p>
            <w:pPr>
              <w:pStyle w:val="TableParagraph"/>
              <w:spacing w:line="230" w:lineRule="exact" w:before="4"/>
              <w:ind w:left="106" w:right="432"/>
              <w:rPr>
                <w:b/>
                <w:sz w:val="20"/>
              </w:rPr>
            </w:pPr>
            <w:r>
              <w:rPr>
                <w:b/>
                <w:sz w:val="20"/>
              </w:rPr>
              <w:t>Petroleum Gas (LPG)</w:t>
            </w:r>
          </w:p>
        </w:tc>
        <w:tc>
          <w:tcPr>
            <w:tcW w:w="1980" w:type="dxa"/>
          </w:tcPr>
          <w:p>
            <w:pPr>
              <w:pStyle w:val="TableParagraph"/>
              <w:ind w:left="106" w:right="88"/>
              <w:rPr>
                <w:b/>
                <w:sz w:val="20"/>
              </w:rPr>
            </w:pPr>
            <w:r>
              <w:rPr>
                <w:b/>
                <w:sz w:val="20"/>
              </w:rPr>
              <w:t>Compressed Natural Gas (CNG)</w:t>
            </w:r>
          </w:p>
        </w:tc>
      </w:tr>
      <w:tr>
        <w:trPr>
          <w:trHeight w:val="917" w:hRule="atLeast"/>
        </w:trPr>
        <w:tc>
          <w:tcPr>
            <w:tcW w:w="2808" w:type="dxa"/>
          </w:tcPr>
          <w:p>
            <w:pPr>
              <w:pStyle w:val="TableParagraph"/>
              <w:ind w:left="107" w:right="592"/>
              <w:rPr>
                <w:sz w:val="20"/>
              </w:rPr>
            </w:pPr>
            <w:r>
              <w:rPr>
                <w:sz w:val="20"/>
              </w:rPr>
              <w:t>Tariff Classification and statistical code</w:t>
            </w:r>
          </w:p>
          <w:p>
            <w:pPr>
              <w:pStyle w:val="TableParagraph"/>
              <w:ind w:left="107"/>
              <w:rPr>
                <w:sz w:val="20"/>
              </w:rPr>
            </w:pPr>
            <w:r>
              <w:rPr>
                <w:sz w:val="20"/>
              </w:rPr>
              <w:t>(From 1 December 2011)</w:t>
            </w:r>
          </w:p>
        </w:tc>
        <w:tc>
          <w:tcPr>
            <w:tcW w:w="1980" w:type="dxa"/>
          </w:tcPr>
          <w:p>
            <w:pPr>
              <w:pStyle w:val="TableParagraph"/>
              <w:spacing w:line="224" w:lineRule="exact"/>
              <w:ind w:left="106"/>
              <w:rPr>
                <w:sz w:val="20"/>
              </w:rPr>
            </w:pPr>
            <w:r>
              <w:rPr>
                <w:sz w:val="20"/>
              </w:rPr>
              <w:t>2711.11.00/13</w:t>
            </w:r>
          </w:p>
        </w:tc>
        <w:tc>
          <w:tcPr>
            <w:tcW w:w="1980" w:type="dxa"/>
          </w:tcPr>
          <w:p>
            <w:pPr>
              <w:pStyle w:val="TableParagraph"/>
              <w:spacing w:line="224" w:lineRule="exact"/>
              <w:ind w:left="106"/>
              <w:rPr>
                <w:sz w:val="20"/>
              </w:rPr>
            </w:pPr>
            <w:r>
              <w:rPr>
                <w:sz w:val="20"/>
              </w:rPr>
              <w:t>2711.12.10/01</w:t>
            </w:r>
          </w:p>
          <w:p>
            <w:pPr>
              <w:pStyle w:val="TableParagraph"/>
              <w:ind w:left="106"/>
              <w:rPr>
                <w:sz w:val="20"/>
              </w:rPr>
            </w:pPr>
            <w:r>
              <w:rPr>
                <w:sz w:val="20"/>
              </w:rPr>
              <w:t>2711.13.10/03</w:t>
            </w:r>
          </w:p>
        </w:tc>
        <w:tc>
          <w:tcPr>
            <w:tcW w:w="1980" w:type="dxa"/>
          </w:tcPr>
          <w:p>
            <w:pPr>
              <w:pStyle w:val="TableParagraph"/>
              <w:spacing w:line="224" w:lineRule="exact"/>
              <w:ind w:left="106"/>
              <w:rPr>
                <w:sz w:val="20"/>
              </w:rPr>
            </w:pPr>
            <w:r>
              <w:rPr>
                <w:sz w:val="20"/>
              </w:rPr>
              <w:t>2711.21.10/05</w:t>
            </w:r>
          </w:p>
        </w:tc>
      </w:tr>
      <w:tr>
        <w:trPr>
          <w:trHeight w:val="690" w:hRule="atLeast"/>
        </w:trPr>
        <w:tc>
          <w:tcPr>
            <w:tcW w:w="2808" w:type="dxa"/>
          </w:tcPr>
          <w:p>
            <w:pPr>
              <w:pStyle w:val="TableParagraph"/>
              <w:spacing w:line="227" w:lineRule="exact"/>
              <w:ind w:left="107"/>
              <w:rPr>
                <w:sz w:val="20"/>
              </w:rPr>
            </w:pPr>
            <w:r>
              <w:rPr>
                <w:sz w:val="20"/>
              </w:rPr>
              <w:t>Duty rates</w:t>
            </w:r>
          </w:p>
          <w:p>
            <w:pPr>
              <w:pStyle w:val="TableParagraph"/>
              <w:ind w:left="107"/>
              <w:rPr>
                <w:sz w:val="20"/>
              </w:rPr>
            </w:pPr>
            <w:r>
              <w:rPr>
                <w:sz w:val="20"/>
              </w:rPr>
              <w:t>From 1 December 2011</w:t>
            </w:r>
          </w:p>
        </w:tc>
        <w:tc>
          <w:tcPr>
            <w:tcW w:w="1980" w:type="dxa"/>
          </w:tcPr>
          <w:p>
            <w:pPr>
              <w:pStyle w:val="TableParagraph"/>
              <w:spacing w:line="227" w:lineRule="exact"/>
              <w:ind w:left="106"/>
              <w:rPr>
                <w:sz w:val="20"/>
              </w:rPr>
            </w:pPr>
            <w:r>
              <w:rPr>
                <w:sz w:val="20"/>
              </w:rPr>
              <w:t>$0.0522/kg</w:t>
            </w:r>
          </w:p>
        </w:tc>
        <w:tc>
          <w:tcPr>
            <w:tcW w:w="1980" w:type="dxa"/>
          </w:tcPr>
          <w:p>
            <w:pPr>
              <w:pStyle w:val="TableParagraph"/>
              <w:spacing w:line="227" w:lineRule="exact"/>
              <w:ind w:left="106"/>
              <w:rPr>
                <w:sz w:val="20"/>
              </w:rPr>
            </w:pPr>
            <w:r>
              <w:rPr>
                <w:sz w:val="20"/>
              </w:rPr>
              <w:t>$0.025/L</w:t>
            </w:r>
          </w:p>
        </w:tc>
        <w:tc>
          <w:tcPr>
            <w:tcW w:w="1980" w:type="dxa"/>
          </w:tcPr>
          <w:p>
            <w:pPr>
              <w:pStyle w:val="TableParagraph"/>
              <w:spacing w:line="227" w:lineRule="exact"/>
              <w:ind w:left="106"/>
              <w:rPr>
                <w:sz w:val="20"/>
              </w:rPr>
            </w:pPr>
            <w:r>
              <w:rPr>
                <w:sz w:val="20"/>
              </w:rPr>
              <w:t>$0.0522/kg</w:t>
            </w:r>
          </w:p>
        </w:tc>
      </w:tr>
      <w:tr>
        <w:trPr>
          <w:trHeight w:val="459" w:hRule="atLeast"/>
        </w:trPr>
        <w:tc>
          <w:tcPr>
            <w:tcW w:w="2808" w:type="dxa"/>
          </w:tcPr>
          <w:p>
            <w:pPr>
              <w:pStyle w:val="TableParagraph"/>
              <w:spacing w:line="227" w:lineRule="exact"/>
              <w:ind w:left="107"/>
              <w:rPr>
                <w:sz w:val="20"/>
              </w:rPr>
            </w:pPr>
            <w:r>
              <w:rPr>
                <w:sz w:val="20"/>
              </w:rPr>
              <w:t>From 1 July 2012</w:t>
            </w:r>
          </w:p>
        </w:tc>
        <w:tc>
          <w:tcPr>
            <w:tcW w:w="1980" w:type="dxa"/>
          </w:tcPr>
          <w:p>
            <w:pPr>
              <w:pStyle w:val="TableParagraph"/>
              <w:spacing w:line="227" w:lineRule="exact"/>
              <w:ind w:left="106"/>
              <w:rPr>
                <w:sz w:val="20"/>
              </w:rPr>
            </w:pPr>
            <w:r>
              <w:rPr>
                <w:sz w:val="20"/>
              </w:rPr>
              <w:t>$0.1045/kg</w:t>
            </w:r>
          </w:p>
        </w:tc>
        <w:tc>
          <w:tcPr>
            <w:tcW w:w="1980" w:type="dxa"/>
          </w:tcPr>
          <w:p>
            <w:pPr>
              <w:pStyle w:val="TableParagraph"/>
              <w:spacing w:line="227" w:lineRule="exact"/>
              <w:ind w:left="106"/>
              <w:rPr>
                <w:sz w:val="20"/>
              </w:rPr>
            </w:pPr>
            <w:r>
              <w:rPr>
                <w:sz w:val="20"/>
              </w:rPr>
              <w:t>$0.05/L</w:t>
            </w:r>
          </w:p>
        </w:tc>
        <w:tc>
          <w:tcPr>
            <w:tcW w:w="1980" w:type="dxa"/>
          </w:tcPr>
          <w:p>
            <w:pPr>
              <w:pStyle w:val="TableParagraph"/>
              <w:spacing w:line="227" w:lineRule="exact"/>
              <w:ind w:left="106"/>
              <w:rPr>
                <w:sz w:val="20"/>
              </w:rPr>
            </w:pPr>
            <w:r>
              <w:rPr>
                <w:sz w:val="20"/>
              </w:rPr>
              <w:t>$0.1045/kg</w:t>
            </w:r>
          </w:p>
        </w:tc>
      </w:tr>
      <w:tr>
        <w:trPr>
          <w:trHeight w:val="460" w:hRule="atLeast"/>
        </w:trPr>
        <w:tc>
          <w:tcPr>
            <w:tcW w:w="2808" w:type="dxa"/>
          </w:tcPr>
          <w:p>
            <w:pPr>
              <w:pStyle w:val="TableParagraph"/>
              <w:spacing w:line="227" w:lineRule="exact"/>
              <w:ind w:left="107"/>
              <w:rPr>
                <w:sz w:val="20"/>
              </w:rPr>
            </w:pPr>
            <w:r>
              <w:rPr>
                <w:sz w:val="20"/>
              </w:rPr>
              <w:t>From 1 July 2013</w:t>
            </w:r>
          </w:p>
        </w:tc>
        <w:tc>
          <w:tcPr>
            <w:tcW w:w="1980" w:type="dxa"/>
          </w:tcPr>
          <w:p>
            <w:pPr>
              <w:pStyle w:val="TableParagraph"/>
              <w:spacing w:line="227" w:lineRule="exact"/>
              <w:ind w:left="106"/>
              <w:rPr>
                <w:sz w:val="20"/>
              </w:rPr>
            </w:pPr>
            <w:r>
              <w:rPr>
                <w:sz w:val="20"/>
              </w:rPr>
              <w:t>$0.1567/kg</w:t>
            </w:r>
          </w:p>
        </w:tc>
        <w:tc>
          <w:tcPr>
            <w:tcW w:w="1980" w:type="dxa"/>
          </w:tcPr>
          <w:p>
            <w:pPr>
              <w:pStyle w:val="TableParagraph"/>
              <w:spacing w:line="227" w:lineRule="exact"/>
              <w:ind w:left="106"/>
              <w:rPr>
                <w:sz w:val="20"/>
              </w:rPr>
            </w:pPr>
            <w:r>
              <w:rPr>
                <w:sz w:val="20"/>
              </w:rPr>
              <w:t>$0.075/L</w:t>
            </w:r>
          </w:p>
        </w:tc>
        <w:tc>
          <w:tcPr>
            <w:tcW w:w="1980" w:type="dxa"/>
          </w:tcPr>
          <w:p>
            <w:pPr>
              <w:pStyle w:val="TableParagraph"/>
              <w:spacing w:line="227" w:lineRule="exact"/>
              <w:ind w:left="106"/>
              <w:rPr>
                <w:sz w:val="20"/>
              </w:rPr>
            </w:pPr>
            <w:r>
              <w:rPr>
                <w:sz w:val="20"/>
              </w:rPr>
              <w:t>$0.1567/kg</w:t>
            </w:r>
          </w:p>
        </w:tc>
      </w:tr>
      <w:tr>
        <w:trPr>
          <w:trHeight w:val="460" w:hRule="atLeast"/>
        </w:trPr>
        <w:tc>
          <w:tcPr>
            <w:tcW w:w="2808" w:type="dxa"/>
          </w:tcPr>
          <w:p>
            <w:pPr>
              <w:pStyle w:val="TableParagraph"/>
              <w:spacing w:line="227" w:lineRule="exact"/>
              <w:ind w:left="107"/>
              <w:rPr>
                <w:sz w:val="20"/>
              </w:rPr>
            </w:pPr>
            <w:r>
              <w:rPr>
                <w:sz w:val="20"/>
              </w:rPr>
              <w:t>From 1 July 2014</w:t>
            </w:r>
          </w:p>
        </w:tc>
        <w:tc>
          <w:tcPr>
            <w:tcW w:w="1980" w:type="dxa"/>
          </w:tcPr>
          <w:p>
            <w:pPr>
              <w:pStyle w:val="TableParagraph"/>
              <w:spacing w:line="227" w:lineRule="exact"/>
              <w:ind w:left="106"/>
              <w:rPr>
                <w:sz w:val="20"/>
              </w:rPr>
            </w:pPr>
            <w:r>
              <w:rPr>
                <w:sz w:val="20"/>
              </w:rPr>
              <w:t>$0.209/kg</w:t>
            </w:r>
          </w:p>
        </w:tc>
        <w:tc>
          <w:tcPr>
            <w:tcW w:w="1980" w:type="dxa"/>
          </w:tcPr>
          <w:p>
            <w:pPr>
              <w:pStyle w:val="TableParagraph"/>
              <w:spacing w:line="227" w:lineRule="exact"/>
              <w:ind w:left="106"/>
              <w:rPr>
                <w:sz w:val="20"/>
              </w:rPr>
            </w:pPr>
            <w:r>
              <w:rPr>
                <w:sz w:val="20"/>
              </w:rPr>
              <w:t>$0.10/L</w:t>
            </w:r>
          </w:p>
        </w:tc>
        <w:tc>
          <w:tcPr>
            <w:tcW w:w="1980" w:type="dxa"/>
          </w:tcPr>
          <w:p>
            <w:pPr>
              <w:pStyle w:val="TableParagraph"/>
              <w:spacing w:line="227" w:lineRule="exact"/>
              <w:ind w:left="106"/>
              <w:rPr>
                <w:sz w:val="20"/>
              </w:rPr>
            </w:pPr>
            <w:r>
              <w:rPr>
                <w:sz w:val="20"/>
              </w:rPr>
              <w:t>$0.209/kg</w:t>
            </w:r>
          </w:p>
        </w:tc>
      </w:tr>
      <w:tr>
        <w:trPr>
          <w:trHeight w:val="460" w:hRule="atLeast"/>
        </w:trPr>
        <w:tc>
          <w:tcPr>
            <w:tcW w:w="2808" w:type="dxa"/>
          </w:tcPr>
          <w:p>
            <w:pPr>
              <w:pStyle w:val="TableParagraph"/>
              <w:spacing w:line="227" w:lineRule="exact"/>
              <w:ind w:left="107"/>
              <w:rPr>
                <w:sz w:val="20"/>
              </w:rPr>
            </w:pPr>
            <w:r>
              <w:rPr>
                <w:sz w:val="20"/>
              </w:rPr>
              <w:t>From 1 July 2015</w:t>
            </w:r>
          </w:p>
        </w:tc>
        <w:tc>
          <w:tcPr>
            <w:tcW w:w="1980" w:type="dxa"/>
          </w:tcPr>
          <w:p>
            <w:pPr>
              <w:pStyle w:val="TableParagraph"/>
              <w:spacing w:line="227" w:lineRule="exact"/>
              <w:ind w:left="106"/>
              <w:rPr>
                <w:sz w:val="20"/>
              </w:rPr>
            </w:pPr>
            <w:r>
              <w:rPr>
                <w:sz w:val="20"/>
              </w:rPr>
              <w:t>$0.2613/kg</w:t>
            </w:r>
          </w:p>
        </w:tc>
        <w:tc>
          <w:tcPr>
            <w:tcW w:w="1980" w:type="dxa"/>
          </w:tcPr>
          <w:p>
            <w:pPr>
              <w:pStyle w:val="TableParagraph"/>
              <w:spacing w:line="227" w:lineRule="exact"/>
              <w:ind w:left="106"/>
              <w:rPr>
                <w:sz w:val="20"/>
              </w:rPr>
            </w:pPr>
            <w:r>
              <w:rPr>
                <w:sz w:val="20"/>
              </w:rPr>
              <w:t>$0.125/L</w:t>
            </w:r>
          </w:p>
        </w:tc>
        <w:tc>
          <w:tcPr>
            <w:tcW w:w="1980" w:type="dxa"/>
          </w:tcPr>
          <w:p>
            <w:pPr>
              <w:pStyle w:val="TableParagraph"/>
              <w:spacing w:line="227" w:lineRule="exact"/>
              <w:ind w:left="106"/>
              <w:rPr>
                <w:sz w:val="20"/>
              </w:rPr>
            </w:pPr>
            <w:r>
              <w:rPr>
                <w:sz w:val="20"/>
              </w:rPr>
              <w:t>$0.2613/kg</w:t>
            </w:r>
          </w:p>
        </w:tc>
      </w:tr>
    </w:tbl>
    <w:p>
      <w:pPr>
        <w:spacing w:after="0" w:line="227" w:lineRule="exact"/>
        <w:rPr>
          <w:sz w:val="20"/>
        </w:rPr>
        <w:sectPr>
          <w:type w:val="continuous"/>
          <w:pgSz w:w="11910" w:h="16840"/>
          <w:pgMar w:top="1140" w:bottom="280" w:left="180" w:right="160"/>
        </w:sectPr>
      </w:pPr>
    </w:p>
    <w:p>
      <w:pPr>
        <w:pStyle w:val="BodyText"/>
        <w:spacing w:before="71"/>
        <w:ind w:left="396"/>
        <w:jc w:val="center"/>
      </w:pPr>
      <w:r>
        <w:rPr/>
        <w:t>-2-</w:t>
      </w:r>
    </w:p>
    <w:p>
      <w:pPr>
        <w:pStyle w:val="BodyText"/>
        <w:spacing w:before="9"/>
        <w:rPr>
          <w:sz w:val="11"/>
        </w:rPr>
      </w:pPr>
    </w:p>
    <w:p>
      <w:pPr>
        <w:pStyle w:val="BodyText"/>
        <w:spacing w:before="94"/>
        <w:ind w:left="1521"/>
      </w:pPr>
      <w:r>
        <w:rPr>
          <w:u w:val="single"/>
        </w:rPr>
        <w:t>Free Trade Agreements</w:t>
      </w:r>
    </w:p>
    <w:p>
      <w:pPr>
        <w:pStyle w:val="BodyText"/>
        <w:spacing w:before="10"/>
        <w:rPr>
          <w:sz w:val="11"/>
        </w:rPr>
      </w:pPr>
    </w:p>
    <w:p>
      <w:pPr>
        <w:pStyle w:val="BodyText"/>
        <w:spacing w:before="94"/>
        <w:ind w:left="1521" w:right="1135"/>
      </w:pPr>
      <w:r>
        <w:rPr/>
        <w:t>Schedules 5, 6, 7 and 8 of the Customs Tariff specify rates of customs duty for certain goods, including petroleum based fuels, that are defined as US, Thai, Chilean or AANZ originating goods, under the Australia-US Free Trade Agreement, the Thailand-Australia Free Trade Agreement, the Australia-Chile Free Trade Agreement and Australia’s regional agreement with ASEAN and New Zealand, the ASEAN-Australia-New Zealand Free Trade Agreement, respectively. The amendments to the Customs Tariff create new items in each of these Schedules and impose rates of duty to reflect the changes in Schedule</w:t>
      </w:r>
      <w:r>
        <w:rPr>
          <w:spacing w:val="-7"/>
        </w:rPr>
        <w:t> </w:t>
      </w:r>
      <w:r>
        <w:rPr/>
        <w:t>3.</w:t>
      </w:r>
    </w:p>
    <w:p>
      <w:pPr>
        <w:pStyle w:val="BodyText"/>
        <w:spacing w:before="1"/>
      </w:pPr>
    </w:p>
    <w:p>
      <w:pPr>
        <w:pStyle w:val="BodyText"/>
        <w:ind w:left="1521" w:right="1513"/>
      </w:pPr>
      <w:r>
        <w:rPr/>
        <w:t>The amendments to the Customs Tariff (Schedules 3, 5, 6, 7 and 8) ensure that the new rates of duty applicable to the above fuels will apply to goods imported from all sources.</w:t>
      </w:r>
    </w:p>
    <w:p>
      <w:pPr>
        <w:pStyle w:val="BodyText"/>
      </w:pPr>
    </w:p>
    <w:p>
      <w:pPr>
        <w:pStyle w:val="BodyText"/>
        <w:ind w:left="1521"/>
      </w:pPr>
      <w:r>
        <w:rPr>
          <w:u w:val="single"/>
        </w:rPr>
        <w:t>Excise Tariff Rates</w:t>
      </w:r>
    </w:p>
    <w:p>
      <w:pPr>
        <w:pStyle w:val="BodyText"/>
        <w:spacing w:before="8"/>
        <w:rPr>
          <w:sz w:val="11"/>
        </w:rPr>
      </w:pPr>
    </w:p>
    <w:p>
      <w:pPr>
        <w:spacing w:before="94"/>
        <w:ind w:left="1521" w:right="1569" w:firstLine="0"/>
        <w:jc w:val="left"/>
        <w:rPr>
          <w:sz w:val="20"/>
        </w:rPr>
      </w:pPr>
      <w:r>
        <w:rPr>
          <w:sz w:val="20"/>
        </w:rPr>
        <w:t>The </w:t>
      </w:r>
      <w:r>
        <w:rPr>
          <w:i/>
          <w:sz w:val="20"/>
        </w:rPr>
        <w:t>Excise Tariff Amendment (Taxation of Alternative Fuels) Act 2011 </w:t>
      </w:r>
      <w:r>
        <w:rPr>
          <w:sz w:val="20"/>
        </w:rPr>
        <w:t>amends the </w:t>
      </w:r>
      <w:r>
        <w:rPr>
          <w:i/>
          <w:sz w:val="20"/>
        </w:rPr>
        <w:t>Excise Tariff Act 1921 </w:t>
      </w:r>
      <w:r>
        <w:rPr>
          <w:sz w:val="20"/>
        </w:rPr>
        <w:t>to impose equivalent duties of excise on the above gaseous fuels when domestically produced.</w:t>
      </w:r>
    </w:p>
    <w:p>
      <w:pPr>
        <w:pStyle w:val="BodyText"/>
        <w:spacing w:before="1"/>
      </w:pPr>
    </w:p>
    <w:p>
      <w:pPr>
        <w:pStyle w:val="Heading1"/>
        <w:spacing w:before="1"/>
      </w:pPr>
      <w:r>
        <w:rPr/>
        <w:t>LPG</w:t>
      </w:r>
    </w:p>
    <w:p>
      <w:pPr>
        <w:pStyle w:val="BodyText"/>
        <w:spacing w:before="228"/>
        <w:ind w:left="1521"/>
      </w:pPr>
      <w:r>
        <w:rPr>
          <w:u w:val="single"/>
        </w:rPr>
        <w:t>Classification of LPG</w:t>
      </w:r>
    </w:p>
    <w:p>
      <w:pPr>
        <w:pStyle w:val="BodyText"/>
        <w:spacing w:before="10"/>
        <w:rPr>
          <w:sz w:val="11"/>
        </w:rPr>
      </w:pPr>
    </w:p>
    <w:p>
      <w:pPr>
        <w:pStyle w:val="BodyText"/>
        <w:spacing w:before="94"/>
        <w:ind w:left="1521" w:right="1258"/>
      </w:pPr>
      <w:r>
        <w:rPr/>
        <w:t>The Alternative Fuels Act creates new subheadings 2711.12.10 and 2711.13.10 (statistical codes 01 and 03, respectively, with a unit of quantity in litres), to specify LPG, for the purposes of the alternative fuels legislation, with effect from 1 December 2011. (Note that subheadings 2711.12.00 and 2711.13.00 will not operate from that date).</w:t>
      </w:r>
    </w:p>
    <w:p>
      <w:pPr>
        <w:pStyle w:val="BodyText"/>
      </w:pPr>
    </w:p>
    <w:p>
      <w:pPr>
        <w:pStyle w:val="BodyText"/>
        <w:ind w:left="1521"/>
      </w:pPr>
      <w:r>
        <w:rPr>
          <w:u w:val="single"/>
        </w:rPr>
        <w:t>Definition of LPG</w:t>
      </w:r>
    </w:p>
    <w:p>
      <w:pPr>
        <w:pStyle w:val="BodyText"/>
        <w:spacing w:before="9"/>
        <w:rPr>
          <w:sz w:val="11"/>
        </w:rPr>
      </w:pPr>
    </w:p>
    <w:p>
      <w:pPr>
        <w:pStyle w:val="BodyText"/>
        <w:spacing w:before="94"/>
        <w:ind w:left="1521"/>
      </w:pPr>
      <w:r>
        <w:rPr/>
        <w:t>Additional Note 2 to Chapter 27 will provide the following definition of LPG:</w:t>
      </w:r>
    </w:p>
    <w:p>
      <w:pPr>
        <w:pStyle w:val="BodyText"/>
        <w:spacing w:before="1"/>
      </w:pPr>
    </w:p>
    <w:p>
      <w:pPr>
        <w:spacing w:before="0"/>
        <w:ind w:left="1881" w:right="0" w:firstLine="0"/>
        <w:jc w:val="left"/>
        <w:rPr>
          <w:i/>
          <w:sz w:val="20"/>
        </w:rPr>
      </w:pPr>
      <w:r>
        <w:rPr>
          <w:i/>
          <w:sz w:val="20"/>
        </w:rPr>
        <w:t>For the purposes of 2711.12.10 and 2711.13.10, LPG means:</w:t>
      </w:r>
    </w:p>
    <w:p>
      <w:pPr>
        <w:pStyle w:val="BodyText"/>
        <w:spacing w:before="1"/>
        <w:rPr>
          <w:i/>
        </w:rPr>
      </w:pPr>
    </w:p>
    <w:p>
      <w:pPr>
        <w:pStyle w:val="ListParagraph"/>
        <w:numPr>
          <w:ilvl w:val="0"/>
          <w:numId w:val="1"/>
        </w:numPr>
        <w:tabs>
          <w:tab w:pos="2601" w:val="left" w:leader="none"/>
          <w:tab w:pos="2602" w:val="left" w:leader="none"/>
        </w:tabs>
        <w:spacing w:line="230" w:lineRule="exact" w:before="0" w:after="0"/>
        <w:ind w:left="2601" w:right="0" w:hanging="541"/>
        <w:jc w:val="left"/>
        <w:rPr>
          <w:i/>
          <w:sz w:val="20"/>
        </w:rPr>
      </w:pPr>
      <w:r>
        <w:rPr>
          <w:i/>
          <w:sz w:val="20"/>
        </w:rPr>
        <w:t>liquid propane;</w:t>
      </w:r>
      <w:r>
        <w:rPr>
          <w:i/>
          <w:spacing w:val="-3"/>
          <w:sz w:val="20"/>
        </w:rPr>
        <w:t> </w:t>
      </w:r>
      <w:r>
        <w:rPr>
          <w:i/>
          <w:sz w:val="20"/>
        </w:rPr>
        <w:t>or</w:t>
      </w:r>
    </w:p>
    <w:p>
      <w:pPr>
        <w:pStyle w:val="ListParagraph"/>
        <w:numPr>
          <w:ilvl w:val="0"/>
          <w:numId w:val="1"/>
        </w:numPr>
        <w:tabs>
          <w:tab w:pos="2601" w:val="left" w:leader="none"/>
          <w:tab w:pos="2602" w:val="left" w:leader="none"/>
        </w:tabs>
        <w:spacing w:line="230" w:lineRule="exact" w:before="0" w:after="0"/>
        <w:ind w:left="2601" w:right="0" w:hanging="541"/>
        <w:jc w:val="left"/>
        <w:rPr>
          <w:i/>
          <w:sz w:val="20"/>
        </w:rPr>
      </w:pPr>
      <w:r>
        <w:rPr>
          <w:i/>
          <w:sz w:val="20"/>
        </w:rPr>
        <w:t>a liquid mixture of propane and butane;</w:t>
      </w:r>
      <w:r>
        <w:rPr>
          <w:i/>
          <w:spacing w:val="-8"/>
          <w:sz w:val="20"/>
        </w:rPr>
        <w:t> </w:t>
      </w:r>
      <w:r>
        <w:rPr>
          <w:i/>
          <w:sz w:val="20"/>
        </w:rPr>
        <w:t>or</w:t>
      </w:r>
    </w:p>
    <w:p>
      <w:pPr>
        <w:pStyle w:val="ListParagraph"/>
        <w:numPr>
          <w:ilvl w:val="0"/>
          <w:numId w:val="1"/>
        </w:numPr>
        <w:tabs>
          <w:tab w:pos="2602" w:val="left" w:leader="none"/>
          <w:tab w:pos="2603" w:val="left" w:leader="none"/>
        </w:tabs>
        <w:spacing w:line="240" w:lineRule="auto" w:before="1" w:after="0"/>
        <w:ind w:left="2601" w:right="2415" w:hanging="541"/>
        <w:jc w:val="left"/>
        <w:rPr>
          <w:i/>
          <w:sz w:val="20"/>
        </w:rPr>
      </w:pPr>
      <w:r>
        <w:rPr>
          <w:i/>
          <w:sz w:val="20"/>
        </w:rPr>
        <w:t>a liquid mixture of propane and other hydrocarbons that consists mainly of propane;</w:t>
      </w:r>
      <w:r>
        <w:rPr>
          <w:i/>
          <w:spacing w:val="-2"/>
          <w:sz w:val="20"/>
        </w:rPr>
        <w:t> </w:t>
      </w:r>
      <w:r>
        <w:rPr>
          <w:i/>
          <w:sz w:val="20"/>
        </w:rPr>
        <w:t>or</w:t>
      </w:r>
    </w:p>
    <w:p>
      <w:pPr>
        <w:pStyle w:val="ListParagraph"/>
        <w:numPr>
          <w:ilvl w:val="0"/>
          <w:numId w:val="1"/>
        </w:numPr>
        <w:tabs>
          <w:tab w:pos="2601" w:val="left" w:leader="none"/>
          <w:tab w:pos="2602" w:val="left" w:leader="none"/>
        </w:tabs>
        <w:spacing w:line="240" w:lineRule="auto" w:before="0" w:after="0"/>
        <w:ind w:left="2601" w:right="1914" w:hanging="540"/>
        <w:jc w:val="left"/>
        <w:rPr>
          <w:i/>
          <w:sz w:val="20"/>
        </w:rPr>
      </w:pPr>
      <w:r>
        <w:rPr>
          <w:i/>
          <w:sz w:val="20"/>
        </w:rPr>
        <w:t>a liquid mixture of propane, butane and other hydrocarbons that consists mainly of propane and</w:t>
      </w:r>
      <w:r>
        <w:rPr>
          <w:i/>
          <w:spacing w:val="-4"/>
          <w:sz w:val="20"/>
        </w:rPr>
        <w:t> </w:t>
      </w:r>
      <w:r>
        <w:rPr>
          <w:i/>
          <w:sz w:val="20"/>
        </w:rPr>
        <w:t>butane.</w:t>
      </w:r>
    </w:p>
    <w:p>
      <w:pPr>
        <w:pStyle w:val="BodyText"/>
        <w:spacing w:before="10"/>
        <w:rPr>
          <w:i/>
          <w:sz w:val="19"/>
        </w:rPr>
      </w:pPr>
    </w:p>
    <w:p>
      <w:pPr>
        <w:pStyle w:val="BodyText"/>
        <w:ind w:left="1521"/>
      </w:pPr>
      <w:r>
        <w:rPr>
          <w:u w:val="single"/>
        </w:rPr>
        <w:t>Conversion factor for LPG</w:t>
      </w:r>
    </w:p>
    <w:p>
      <w:pPr>
        <w:pStyle w:val="BodyText"/>
        <w:spacing w:before="10"/>
        <w:rPr>
          <w:sz w:val="11"/>
        </w:rPr>
      </w:pPr>
    </w:p>
    <w:p>
      <w:pPr>
        <w:pStyle w:val="BodyText"/>
        <w:spacing w:before="94"/>
        <w:ind w:left="1521" w:right="1735"/>
      </w:pPr>
      <w:r>
        <w:rPr/>
        <w:t>Amendments to regulation 126E of the </w:t>
      </w:r>
      <w:r>
        <w:rPr>
          <w:i/>
        </w:rPr>
        <w:t>Customs Regulations 1926 </w:t>
      </w:r>
      <w:r>
        <w:rPr/>
        <w:t>(the Customs Regulations) provides a conversion factor to convert measurements of LPG from kilograms to litres:</w:t>
      </w:r>
    </w:p>
    <w:p>
      <w:pPr>
        <w:pStyle w:val="BodyText"/>
        <w:spacing w:before="1"/>
      </w:pPr>
    </w:p>
    <w:p>
      <w:pPr>
        <w:spacing w:before="0"/>
        <w:ind w:left="398" w:right="624" w:firstLine="0"/>
        <w:jc w:val="center"/>
        <w:rPr>
          <w:i/>
          <w:sz w:val="20"/>
        </w:rPr>
      </w:pPr>
      <w:r>
        <w:rPr>
          <w:i/>
          <w:sz w:val="20"/>
        </w:rPr>
        <w:t>LPG may be converted to litres at the rate of 1 kilogram of LPG to 1.885 litres of LPG.</w:t>
      </w:r>
    </w:p>
    <w:p>
      <w:pPr>
        <w:pStyle w:val="BodyText"/>
        <w:spacing w:before="10"/>
        <w:rPr>
          <w:i/>
          <w:sz w:val="19"/>
        </w:rPr>
      </w:pPr>
    </w:p>
    <w:p>
      <w:pPr>
        <w:pStyle w:val="BodyText"/>
        <w:ind w:left="1521" w:right="1258"/>
      </w:pPr>
      <w:r>
        <w:rPr/>
        <w:t>NOTE: This conversion factor will not be coded into the Customs Integrated Cargo System (ICS) and, if required, importers must make the calculation before creating import declarations in the ICS.</w:t>
      </w:r>
    </w:p>
    <w:p>
      <w:pPr>
        <w:pStyle w:val="BodyText"/>
      </w:pPr>
    </w:p>
    <w:p>
      <w:pPr>
        <w:pStyle w:val="BodyText"/>
        <w:ind w:left="1521"/>
      </w:pPr>
      <w:r>
        <w:rPr>
          <w:u w:val="single"/>
        </w:rPr>
        <w:t>Automatic remission of customs duty for LPG</w:t>
      </w:r>
    </w:p>
    <w:p>
      <w:pPr>
        <w:pStyle w:val="BodyText"/>
        <w:spacing w:before="9"/>
        <w:rPr>
          <w:sz w:val="11"/>
        </w:rPr>
      </w:pPr>
    </w:p>
    <w:p>
      <w:pPr>
        <w:pStyle w:val="BodyText"/>
        <w:spacing w:before="94"/>
        <w:ind w:left="1521" w:right="1491" w:hanging="1"/>
      </w:pPr>
      <w:r>
        <w:rPr/>
        <w:t>Subregulations 126(1)(zb) and 128AA(3) of the Customs Regulations provide for the automatic remission of customs duty on imported LPG, when that LPG is not intended for use in an internal combustion engine in either a motor vehicle or vessel.</w:t>
      </w:r>
    </w:p>
    <w:p>
      <w:pPr>
        <w:spacing w:after="0"/>
        <w:sectPr>
          <w:pgSz w:w="11910" w:h="16840"/>
          <w:pgMar w:top="1060" w:bottom="280" w:left="180" w:right="160"/>
        </w:sectPr>
      </w:pPr>
    </w:p>
    <w:p>
      <w:pPr>
        <w:pStyle w:val="BodyText"/>
        <w:spacing w:before="71"/>
        <w:ind w:left="396"/>
        <w:jc w:val="center"/>
      </w:pPr>
      <w:r>
        <w:rPr/>
        <w:t>-3-</w:t>
      </w:r>
    </w:p>
    <w:p>
      <w:pPr>
        <w:pStyle w:val="BodyText"/>
        <w:spacing w:before="11"/>
        <w:rPr>
          <w:sz w:val="19"/>
        </w:rPr>
      </w:pPr>
    </w:p>
    <w:p>
      <w:pPr>
        <w:pStyle w:val="BodyText"/>
        <w:ind w:left="1521" w:right="1171"/>
      </w:pPr>
      <w:r>
        <w:rPr/>
        <w:t>To provide the administrative means to give effect to this provision, a new item 131 will be created in the Supplementary Provisions of the Customs Tariff Working Pages.  The associated treatment code 131 will remove the customs duty in the above circumstances, when applied on import declarations in the</w:t>
      </w:r>
      <w:r>
        <w:rPr>
          <w:spacing w:val="-4"/>
        </w:rPr>
        <w:t> </w:t>
      </w:r>
      <w:r>
        <w:rPr/>
        <w:t>ICS.</w:t>
      </w:r>
    </w:p>
    <w:p>
      <w:pPr>
        <w:pStyle w:val="BodyText"/>
        <w:spacing w:before="1"/>
      </w:pPr>
    </w:p>
    <w:p>
      <w:pPr>
        <w:pStyle w:val="BodyText"/>
        <w:spacing w:line="480" w:lineRule="auto"/>
        <w:ind w:left="1521" w:right="1903"/>
      </w:pPr>
      <w:r>
        <w:rPr/>
        <w:t>The Customs Tariff Working Pages will include the full text of these regulation amendments. </w:t>
      </w:r>
      <w:r>
        <w:rPr>
          <w:u w:val="single"/>
        </w:rPr>
        <w:t>Refunds of customs duty for LPG</w:t>
      </w:r>
    </w:p>
    <w:p>
      <w:pPr>
        <w:pStyle w:val="BodyText"/>
        <w:spacing w:line="230" w:lineRule="exact"/>
        <w:ind w:left="1521"/>
      </w:pPr>
      <w:r>
        <w:rPr/>
        <w:t>Amendments to regulation 126 provides for a new refund circumstance (new</w:t>
      </w:r>
    </w:p>
    <w:p>
      <w:pPr>
        <w:pStyle w:val="BodyText"/>
        <w:ind w:left="1521" w:right="1647"/>
      </w:pPr>
      <w:r>
        <w:rPr/>
        <w:t>subregulation 126(1)(eaa) refers) for LPG when customs duty has been paid incorrectly for this product.</w:t>
      </w:r>
    </w:p>
    <w:p>
      <w:pPr>
        <w:pStyle w:val="BodyText"/>
      </w:pPr>
    </w:p>
    <w:p>
      <w:pPr>
        <w:pStyle w:val="BodyText"/>
        <w:ind w:left="1521" w:right="1190"/>
      </w:pPr>
      <w:r>
        <w:rPr/>
        <w:t>Refund reason code “eaa” will need to be quoted on import declarations when accessing refunds for LPG.</w:t>
      </w:r>
    </w:p>
    <w:p>
      <w:pPr>
        <w:pStyle w:val="BodyText"/>
        <w:spacing w:before="1"/>
      </w:pPr>
    </w:p>
    <w:p>
      <w:pPr>
        <w:pStyle w:val="Heading1"/>
      </w:pPr>
      <w:r>
        <w:rPr/>
        <w:t>LNG</w:t>
      </w:r>
    </w:p>
    <w:p>
      <w:pPr>
        <w:pStyle w:val="BodyText"/>
        <w:spacing w:before="228"/>
        <w:ind w:left="1521"/>
      </w:pPr>
      <w:r>
        <w:rPr>
          <w:u w:val="single"/>
        </w:rPr>
        <w:t>Classification of LNG</w:t>
      </w:r>
    </w:p>
    <w:p>
      <w:pPr>
        <w:pStyle w:val="BodyText"/>
        <w:spacing w:before="11"/>
        <w:rPr>
          <w:sz w:val="11"/>
        </w:rPr>
      </w:pPr>
    </w:p>
    <w:p>
      <w:pPr>
        <w:pStyle w:val="BodyText"/>
        <w:spacing w:before="94"/>
        <w:ind w:left="1521" w:right="1790"/>
      </w:pPr>
      <w:r>
        <w:rPr/>
        <w:t>LNG will continue to be classified in subheading 2711.11.00 (statistical code 13, with a unit of quantity in kilograms), post December 2011.</w:t>
      </w:r>
    </w:p>
    <w:p>
      <w:pPr>
        <w:pStyle w:val="BodyText"/>
      </w:pPr>
    </w:p>
    <w:p>
      <w:pPr>
        <w:pStyle w:val="BodyText"/>
        <w:ind w:left="1521"/>
      </w:pPr>
      <w:r>
        <w:rPr>
          <w:u w:val="single"/>
        </w:rPr>
        <w:t>Automatic remission of customs duty for LNG</w:t>
      </w:r>
    </w:p>
    <w:p>
      <w:pPr>
        <w:pStyle w:val="BodyText"/>
        <w:spacing w:before="9"/>
        <w:rPr>
          <w:sz w:val="11"/>
        </w:rPr>
      </w:pPr>
    </w:p>
    <w:p>
      <w:pPr>
        <w:pStyle w:val="BodyText"/>
        <w:spacing w:before="94"/>
        <w:ind w:left="1521" w:right="1324"/>
      </w:pPr>
      <w:r>
        <w:rPr/>
        <w:t>Subregulations 126(1)(za) and 128AA(3) of the Customs Regulations will provide for the automatic remission of customs duty on imported LNG, when that LNG is not intended for use in an internal combustion engine in either a motor vehicle or vessel.</w:t>
      </w:r>
    </w:p>
    <w:p>
      <w:pPr>
        <w:pStyle w:val="BodyText"/>
        <w:spacing w:before="11"/>
        <w:rPr>
          <w:sz w:val="19"/>
        </w:rPr>
      </w:pPr>
    </w:p>
    <w:p>
      <w:pPr>
        <w:pStyle w:val="BodyText"/>
        <w:ind w:left="1521" w:right="1171"/>
      </w:pPr>
      <w:r>
        <w:rPr/>
        <w:t>To provide the administrative means to give effect to this provision, a new item 130 will be created in the Supplementary Provisions of the Customs Tariff Working Pages.  The associated treatment code 130 will remove the customs duty in the above circumstances, when applied on import declarations in the</w:t>
      </w:r>
      <w:r>
        <w:rPr>
          <w:spacing w:val="-4"/>
        </w:rPr>
        <w:t> </w:t>
      </w:r>
      <w:r>
        <w:rPr/>
        <w:t>ICS.</w:t>
      </w:r>
    </w:p>
    <w:p>
      <w:pPr>
        <w:pStyle w:val="BodyText"/>
        <w:spacing w:before="1"/>
      </w:pPr>
    </w:p>
    <w:p>
      <w:pPr>
        <w:pStyle w:val="BodyText"/>
        <w:ind w:left="1521"/>
      </w:pPr>
      <w:r>
        <w:rPr>
          <w:u w:val="single"/>
        </w:rPr>
        <w:t>Refunds of customs duty for LNG</w:t>
      </w:r>
    </w:p>
    <w:p>
      <w:pPr>
        <w:pStyle w:val="BodyText"/>
        <w:spacing w:before="9"/>
        <w:rPr>
          <w:sz w:val="11"/>
        </w:rPr>
      </w:pPr>
    </w:p>
    <w:p>
      <w:pPr>
        <w:pStyle w:val="BodyText"/>
        <w:spacing w:before="94"/>
        <w:ind w:left="1521"/>
      </w:pPr>
      <w:r>
        <w:rPr/>
        <w:t>Amendments to regulation 126 will provide for a new refund circumstance (new</w:t>
      </w:r>
    </w:p>
    <w:p>
      <w:pPr>
        <w:pStyle w:val="BodyText"/>
        <w:ind w:left="1521" w:right="1636"/>
      </w:pPr>
      <w:r>
        <w:rPr/>
        <w:t>subregulation 126(1)(eaa) refers) for LNG when customs duty has been paid incorrectly for this product.</w:t>
      </w:r>
    </w:p>
    <w:p>
      <w:pPr>
        <w:pStyle w:val="BodyText"/>
      </w:pPr>
    </w:p>
    <w:p>
      <w:pPr>
        <w:pStyle w:val="BodyText"/>
        <w:ind w:left="1521" w:right="1190"/>
      </w:pPr>
      <w:r>
        <w:rPr/>
        <w:t>Refund reason code “eaa” will need to be quoted on import declarations when accessing refunds for LNG.</w:t>
      </w:r>
    </w:p>
    <w:p>
      <w:pPr>
        <w:pStyle w:val="BodyText"/>
        <w:spacing w:before="1"/>
      </w:pPr>
    </w:p>
    <w:p>
      <w:pPr>
        <w:pStyle w:val="Heading1"/>
      </w:pPr>
      <w:r>
        <w:rPr/>
        <w:t>CNG</w:t>
      </w:r>
    </w:p>
    <w:p>
      <w:pPr>
        <w:pStyle w:val="BodyText"/>
        <w:spacing w:before="228"/>
        <w:ind w:left="1521"/>
      </w:pPr>
      <w:r>
        <w:rPr>
          <w:u w:val="single"/>
        </w:rPr>
        <w:t>Classification of CNG</w:t>
      </w:r>
    </w:p>
    <w:p>
      <w:pPr>
        <w:pStyle w:val="BodyText"/>
        <w:spacing w:before="11"/>
        <w:rPr>
          <w:sz w:val="11"/>
        </w:rPr>
      </w:pPr>
    </w:p>
    <w:p>
      <w:pPr>
        <w:pStyle w:val="BodyText"/>
        <w:spacing w:before="94"/>
        <w:ind w:left="1521" w:right="1213"/>
      </w:pPr>
      <w:r>
        <w:rPr/>
        <w:t>The Alternative Fuels Act creates a new subheading 2711.21.10 (statistical code 05, with a unit of quantity in kilograms), to specify CNG for the purposes of the alternative fuels legislation, with effect from 1 December 2011. (Note that subheading 2711.21.00 will not operate from that date).</w:t>
      </w:r>
    </w:p>
    <w:p>
      <w:pPr>
        <w:spacing w:after="0"/>
        <w:sectPr>
          <w:pgSz w:w="11910" w:h="16840"/>
          <w:pgMar w:top="1060" w:bottom="280" w:left="180" w:right="160"/>
        </w:sectPr>
      </w:pPr>
    </w:p>
    <w:p>
      <w:pPr>
        <w:pStyle w:val="BodyText"/>
        <w:spacing w:before="71"/>
        <w:ind w:left="396"/>
        <w:jc w:val="center"/>
      </w:pPr>
      <w:r>
        <w:rPr/>
        <w:t>-4-</w:t>
      </w:r>
    </w:p>
    <w:p>
      <w:pPr>
        <w:pStyle w:val="BodyText"/>
        <w:spacing w:before="9"/>
        <w:rPr>
          <w:sz w:val="11"/>
        </w:rPr>
      </w:pPr>
    </w:p>
    <w:p>
      <w:pPr>
        <w:pStyle w:val="BodyText"/>
        <w:spacing w:before="94"/>
        <w:ind w:left="1521"/>
      </w:pPr>
      <w:r>
        <w:rPr>
          <w:u w:val="single"/>
        </w:rPr>
        <w:t>Definition of CNG</w:t>
      </w:r>
    </w:p>
    <w:p>
      <w:pPr>
        <w:pStyle w:val="BodyText"/>
        <w:spacing w:before="10"/>
        <w:rPr>
          <w:sz w:val="11"/>
        </w:rPr>
      </w:pPr>
    </w:p>
    <w:p>
      <w:pPr>
        <w:pStyle w:val="BodyText"/>
        <w:spacing w:before="94"/>
        <w:ind w:left="1521"/>
      </w:pPr>
      <w:r>
        <w:rPr/>
        <w:t>Additional Note 5 to Chapter 27 provides the following definition of CNG:</w:t>
      </w:r>
    </w:p>
    <w:p>
      <w:pPr>
        <w:pStyle w:val="BodyText"/>
        <w:spacing w:before="1"/>
      </w:pPr>
    </w:p>
    <w:p>
      <w:pPr>
        <w:spacing w:before="0"/>
        <w:ind w:left="1881" w:right="1142" w:firstLine="0"/>
        <w:jc w:val="left"/>
        <w:rPr>
          <w:i/>
          <w:sz w:val="20"/>
        </w:rPr>
      </w:pPr>
      <w:r>
        <w:rPr>
          <w:i/>
          <w:sz w:val="20"/>
        </w:rPr>
        <w:t>For the purposes of 2711.21.10, CNG means natural gas compressed for use as fuel for a motor vehicle other than:</w:t>
      </w:r>
    </w:p>
    <w:p>
      <w:pPr>
        <w:pStyle w:val="ListParagraph"/>
        <w:numPr>
          <w:ilvl w:val="0"/>
          <w:numId w:val="2"/>
        </w:numPr>
        <w:tabs>
          <w:tab w:pos="2601" w:val="left" w:leader="none"/>
          <w:tab w:pos="2602" w:val="left" w:leader="none"/>
        </w:tabs>
        <w:spacing w:line="196" w:lineRule="auto" w:before="191" w:after="0"/>
        <w:ind w:left="2601" w:right="2082" w:hanging="540"/>
        <w:jc w:val="left"/>
        <w:rPr>
          <w:i/>
          <w:sz w:val="20"/>
        </w:rPr>
      </w:pPr>
      <w:r>
        <w:rPr>
          <w:i/>
          <w:sz w:val="20"/>
        </w:rPr>
        <w:t>a motor vehicle that is designed merely to move goods with a forklift and is for use primarily off public roads;</w:t>
      </w:r>
      <w:r>
        <w:rPr>
          <w:i/>
          <w:spacing w:val="-7"/>
          <w:sz w:val="20"/>
        </w:rPr>
        <w:t> </w:t>
      </w:r>
      <w:r>
        <w:rPr>
          <w:i/>
          <w:sz w:val="20"/>
        </w:rPr>
        <w:t>and</w:t>
      </w:r>
    </w:p>
    <w:p>
      <w:pPr>
        <w:pStyle w:val="ListParagraph"/>
        <w:numPr>
          <w:ilvl w:val="0"/>
          <w:numId w:val="2"/>
        </w:numPr>
        <w:tabs>
          <w:tab w:pos="2601" w:val="left" w:leader="none"/>
          <w:tab w:pos="2602" w:val="left" w:leader="none"/>
        </w:tabs>
        <w:spacing w:line="196" w:lineRule="auto" w:before="193" w:after="0"/>
        <w:ind w:left="2601" w:right="1857" w:hanging="541"/>
        <w:jc w:val="left"/>
        <w:rPr>
          <w:i/>
          <w:sz w:val="20"/>
        </w:rPr>
      </w:pPr>
      <w:r>
        <w:rPr>
          <w:i/>
          <w:sz w:val="20"/>
        </w:rPr>
        <w:t>a motor vehicle that is of a kind prescribed by the regulations for the purposes of this</w:t>
      </w:r>
      <w:r>
        <w:rPr>
          <w:i/>
          <w:spacing w:val="-2"/>
          <w:sz w:val="20"/>
        </w:rPr>
        <w:t> </w:t>
      </w:r>
      <w:r>
        <w:rPr>
          <w:i/>
          <w:sz w:val="20"/>
        </w:rPr>
        <w:t>paragraph.</w:t>
      </w:r>
    </w:p>
    <w:p>
      <w:pPr>
        <w:pStyle w:val="BodyText"/>
        <w:spacing w:before="1"/>
        <w:rPr>
          <w:i/>
        </w:rPr>
      </w:pPr>
    </w:p>
    <w:p>
      <w:pPr>
        <w:pStyle w:val="BodyText"/>
        <w:spacing w:line="480" w:lineRule="auto"/>
        <w:ind w:left="1521" w:right="1646"/>
      </w:pPr>
      <w:r>
        <w:rPr/>
        <w:t>CNG that falls outside this definition is classified in subheading 2711.21.90, with a rate of Free. </w:t>
      </w:r>
      <w:r>
        <w:rPr>
          <w:u w:val="single"/>
        </w:rPr>
        <w:t>Conversion factor for CNG</w:t>
      </w:r>
    </w:p>
    <w:p>
      <w:pPr>
        <w:pStyle w:val="BodyText"/>
        <w:ind w:left="1521" w:right="1168"/>
      </w:pPr>
      <w:r>
        <w:rPr/>
        <w:t>Regulation 126E of the Customs Regulations provides a conversion factor to convert measurements of CNG from megajoules to kilograms:</w:t>
      </w:r>
    </w:p>
    <w:p>
      <w:pPr>
        <w:pStyle w:val="BodyText"/>
      </w:pPr>
    </w:p>
    <w:p>
      <w:pPr>
        <w:spacing w:before="1"/>
        <w:ind w:left="1881" w:right="1487" w:firstLine="0"/>
        <w:jc w:val="left"/>
        <w:rPr>
          <w:i/>
          <w:sz w:val="20"/>
        </w:rPr>
      </w:pPr>
      <w:r>
        <w:rPr>
          <w:i/>
          <w:sz w:val="20"/>
        </w:rPr>
        <w:t>CNG may be converted to kilograms at the rate of 1 megajoule of CNG to 0.01893 kilograms of CNG.</w:t>
      </w:r>
    </w:p>
    <w:p>
      <w:pPr>
        <w:pStyle w:val="BodyText"/>
        <w:spacing w:before="10"/>
        <w:rPr>
          <w:i/>
          <w:sz w:val="19"/>
        </w:rPr>
      </w:pPr>
    </w:p>
    <w:p>
      <w:pPr>
        <w:pStyle w:val="BodyText"/>
        <w:ind w:left="1521" w:right="1391"/>
      </w:pPr>
      <w:r>
        <w:rPr/>
        <w:t>NOTE: This conversion factor will not be coded into the ICS and, if required, importers must make the calculation before creating import declarations in the ICS.</w:t>
      </w:r>
    </w:p>
    <w:p>
      <w:pPr>
        <w:pStyle w:val="BodyText"/>
      </w:pPr>
    </w:p>
    <w:p>
      <w:pPr>
        <w:pStyle w:val="BodyText"/>
        <w:ind w:left="1521"/>
      </w:pPr>
      <w:r>
        <w:rPr>
          <w:u w:val="single"/>
        </w:rPr>
        <w:t>Refunds of customs duty for CNG</w:t>
      </w:r>
    </w:p>
    <w:p>
      <w:pPr>
        <w:pStyle w:val="BodyText"/>
        <w:spacing w:before="10"/>
        <w:rPr>
          <w:sz w:val="11"/>
        </w:rPr>
      </w:pPr>
    </w:p>
    <w:p>
      <w:pPr>
        <w:pStyle w:val="BodyText"/>
        <w:spacing w:line="230" w:lineRule="exact" w:before="94"/>
        <w:ind w:left="1521"/>
      </w:pPr>
      <w:r>
        <w:rPr/>
        <w:t>Amendments to regulation 126 will provide for a new refund circumstance (new</w:t>
      </w:r>
    </w:p>
    <w:p>
      <w:pPr>
        <w:pStyle w:val="BodyText"/>
        <w:ind w:left="1521" w:right="1135"/>
      </w:pPr>
      <w:r>
        <w:rPr/>
        <w:t>subregulation 126(1)(eaa) refers) for CNG when customs duty has been paid incorrectly for this product. CNG that is not for use in a motor vehicle or vessel is classified in subheading 2711.21.90.</w:t>
      </w:r>
    </w:p>
    <w:p>
      <w:pPr>
        <w:pStyle w:val="BodyText"/>
      </w:pPr>
    </w:p>
    <w:p>
      <w:pPr>
        <w:pStyle w:val="BodyText"/>
        <w:ind w:left="1521" w:right="1190"/>
      </w:pPr>
      <w:r>
        <w:rPr/>
        <w:t>Refund reason code “eaa” will need to be quoted on import declarations when accessing refunds for CNG.</w:t>
      </w:r>
    </w:p>
    <w:p>
      <w:pPr>
        <w:pStyle w:val="BodyText"/>
      </w:pPr>
    </w:p>
    <w:p>
      <w:pPr>
        <w:pStyle w:val="Heading1"/>
        <w:spacing w:before="1"/>
      </w:pPr>
      <w:r>
        <w:rPr/>
        <w:t>Blends containing petroleum oils</w:t>
      </w:r>
    </w:p>
    <w:p>
      <w:pPr>
        <w:pStyle w:val="BodyText"/>
        <w:spacing w:before="229"/>
        <w:ind w:left="1521" w:right="1156"/>
      </w:pPr>
      <w:r>
        <w:rPr/>
        <w:t>The Alternative Fuels Act creates new subheadings to separately identify blends of ethanol and gasoline, and diesel and ethanol. This will enable the calculation of customs duty for such blends based on the appropriate duty rate for each component, equivalent to the provisions of section 6G of the </w:t>
      </w:r>
      <w:r>
        <w:rPr>
          <w:i/>
        </w:rPr>
        <w:t>Excise Tariff Act 1921</w:t>
      </w:r>
      <w:r>
        <w:rPr/>
        <w:t>.</w:t>
      </w:r>
    </w:p>
    <w:p>
      <w:pPr>
        <w:pStyle w:val="BodyText"/>
      </w:pPr>
    </w:p>
    <w:p>
      <w:pPr>
        <w:pStyle w:val="BodyText"/>
        <w:ind w:left="1521" w:right="1356"/>
      </w:pPr>
      <w:r>
        <w:rPr/>
        <w:t>Subheadings applicable to blends containing biodiesel and petroleum products are not affected by the December 2011</w:t>
      </w:r>
      <w:r>
        <w:rPr>
          <w:spacing w:val="-4"/>
        </w:rPr>
        <w:t> </w:t>
      </w:r>
      <w:r>
        <w:rPr/>
        <w:t>changes.</w:t>
      </w:r>
    </w:p>
    <w:p>
      <w:pPr>
        <w:pStyle w:val="BodyText"/>
      </w:pPr>
    </w:p>
    <w:p>
      <w:pPr>
        <w:pStyle w:val="BodyText"/>
        <w:spacing w:line="480" w:lineRule="auto"/>
        <w:ind w:left="1521" w:right="4258"/>
      </w:pPr>
      <w:r>
        <w:rPr/>
        <w:t>NOTE: These subheadings will again change on 1 January 2012. </w:t>
      </w:r>
      <w:r>
        <w:rPr>
          <w:u w:val="single"/>
        </w:rPr>
        <w:t>Entry requirements for</w:t>
      </w:r>
      <w:r>
        <w:rPr>
          <w:spacing w:val="-4"/>
          <w:u w:val="single"/>
        </w:rPr>
        <w:t> </w:t>
      </w:r>
      <w:r>
        <w:rPr>
          <w:u w:val="single"/>
        </w:rPr>
        <w:t>blends</w:t>
      </w:r>
    </w:p>
    <w:p>
      <w:pPr>
        <w:pStyle w:val="BodyText"/>
        <w:ind w:left="1521" w:right="1258"/>
      </w:pPr>
      <w:r>
        <w:rPr/>
        <w:t>The Customs Tariff Working Pages specify Rate Identifiers (Rate Numbers) for the above tariff subheadings. Rate Numbers are used to specify rates of duty for the components of these blends.</w:t>
      </w:r>
    </w:p>
    <w:p>
      <w:pPr>
        <w:pStyle w:val="BodyText"/>
        <w:spacing w:before="1"/>
      </w:pPr>
    </w:p>
    <w:p>
      <w:pPr>
        <w:pStyle w:val="BodyText"/>
        <w:ind w:left="1521" w:right="1360"/>
      </w:pPr>
      <w:r>
        <w:rPr/>
        <w:t>For example, new subheading 2710.11.62 will apply to blends of gasoline and ethanol. For this subheading, Table 2 sets out the Rate Numbers and statistical codes that refer to the different components of the blend.</w:t>
      </w:r>
    </w:p>
    <w:p>
      <w:pPr>
        <w:spacing w:after="0"/>
        <w:sectPr>
          <w:pgSz w:w="11910" w:h="16840"/>
          <w:pgMar w:top="1060" w:bottom="280" w:left="180" w:right="160"/>
        </w:sectPr>
      </w:pPr>
    </w:p>
    <w:p>
      <w:pPr>
        <w:pStyle w:val="BodyText"/>
        <w:spacing w:before="71"/>
        <w:ind w:left="396"/>
        <w:jc w:val="center"/>
      </w:pPr>
      <w:r>
        <w:rPr/>
        <w:t>-5-</w:t>
      </w:r>
    </w:p>
    <w:p>
      <w:pPr>
        <w:pStyle w:val="BodyText"/>
        <w:spacing w:before="11"/>
        <w:rPr>
          <w:sz w:val="19"/>
        </w:rPr>
      </w:pPr>
    </w:p>
    <w:p>
      <w:pPr>
        <w:pStyle w:val="BodyText"/>
        <w:ind w:left="1521" w:right="1390" w:hanging="1"/>
      </w:pPr>
      <w:r>
        <w:rPr>
          <w:u w:val="single"/>
        </w:rPr>
        <w:t>Table 2 – Rate identifiers and statistical codes for subheading 2710.11.62 (blends of gasoline and</w:t>
      </w:r>
      <w:r>
        <w:rPr/>
        <w:t> </w:t>
      </w:r>
      <w:r>
        <w:rPr>
          <w:u w:val="single"/>
        </w:rPr>
        <w:t>ethanol)</w:t>
      </w:r>
    </w:p>
    <w:p>
      <w:pPr>
        <w:pStyle w:val="BodyText"/>
        <w:spacing w:before="3"/>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4722"/>
        <w:gridCol w:w="1938"/>
      </w:tblGrid>
      <w:tr>
        <w:trPr>
          <w:trHeight w:val="570" w:hRule="atLeast"/>
        </w:trPr>
        <w:tc>
          <w:tcPr>
            <w:tcW w:w="1368" w:type="dxa"/>
          </w:tcPr>
          <w:p>
            <w:pPr>
              <w:pStyle w:val="TableParagraph"/>
              <w:spacing w:line="199" w:lineRule="auto"/>
              <w:ind w:left="107" w:right="386"/>
              <w:rPr>
                <w:b/>
                <w:sz w:val="20"/>
              </w:rPr>
            </w:pPr>
            <w:r>
              <w:rPr>
                <w:b/>
                <w:sz w:val="20"/>
              </w:rPr>
              <w:t>Rate Identifier</w:t>
            </w:r>
          </w:p>
        </w:tc>
        <w:tc>
          <w:tcPr>
            <w:tcW w:w="4722" w:type="dxa"/>
          </w:tcPr>
          <w:p>
            <w:pPr>
              <w:pStyle w:val="TableParagraph"/>
              <w:spacing w:line="195" w:lineRule="exact"/>
              <w:ind w:left="106"/>
              <w:rPr>
                <w:b/>
                <w:sz w:val="20"/>
              </w:rPr>
            </w:pPr>
            <w:r>
              <w:rPr>
                <w:b/>
                <w:sz w:val="20"/>
              </w:rPr>
              <w:t>Component description</w:t>
            </w:r>
          </w:p>
        </w:tc>
        <w:tc>
          <w:tcPr>
            <w:tcW w:w="1938" w:type="dxa"/>
          </w:tcPr>
          <w:p>
            <w:pPr>
              <w:pStyle w:val="TableParagraph"/>
              <w:spacing w:line="195" w:lineRule="exact"/>
              <w:ind w:left="107"/>
              <w:rPr>
                <w:b/>
                <w:sz w:val="20"/>
              </w:rPr>
            </w:pPr>
            <w:r>
              <w:rPr>
                <w:b/>
                <w:sz w:val="20"/>
              </w:rPr>
              <w:t>Statistical code</w:t>
            </w:r>
          </w:p>
        </w:tc>
      </w:tr>
      <w:tr>
        <w:trPr>
          <w:trHeight w:val="380" w:hRule="atLeast"/>
        </w:trPr>
        <w:tc>
          <w:tcPr>
            <w:tcW w:w="1368" w:type="dxa"/>
          </w:tcPr>
          <w:p>
            <w:pPr>
              <w:pStyle w:val="TableParagraph"/>
              <w:spacing w:line="195" w:lineRule="exact"/>
              <w:ind w:left="107"/>
              <w:rPr>
                <w:sz w:val="20"/>
              </w:rPr>
            </w:pPr>
            <w:r>
              <w:rPr>
                <w:sz w:val="20"/>
              </w:rPr>
              <w:t>001</w:t>
            </w:r>
          </w:p>
        </w:tc>
        <w:tc>
          <w:tcPr>
            <w:tcW w:w="4722" w:type="dxa"/>
          </w:tcPr>
          <w:p>
            <w:pPr>
              <w:pStyle w:val="TableParagraph"/>
              <w:spacing w:line="195" w:lineRule="exact"/>
              <w:ind w:left="106"/>
              <w:rPr>
                <w:sz w:val="20"/>
              </w:rPr>
            </w:pPr>
            <w:r>
              <w:rPr>
                <w:sz w:val="20"/>
              </w:rPr>
              <w:t>Volume of gasoline</w:t>
            </w:r>
          </w:p>
        </w:tc>
        <w:tc>
          <w:tcPr>
            <w:tcW w:w="1938" w:type="dxa"/>
          </w:tcPr>
          <w:p>
            <w:pPr>
              <w:pStyle w:val="TableParagraph"/>
              <w:spacing w:line="195" w:lineRule="exact"/>
              <w:ind w:left="107"/>
              <w:rPr>
                <w:sz w:val="20"/>
              </w:rPr>
            </w:pPr>
            <w:r>
              <w:rPr>
                <w:sz w:val="20"/>
              </w:rPr>
              <w:t>01</w:t>
            </w:r>
          </w:p>
        </w:tc>
      </w:tr>
      <w:tr>
        <w:trPr>
          <w:trHeight w:val="380" w:hRule="atLeast"/>
        </w:trPr>
        <w:tc>
          <w:tcPr>
            <w:tcW w:w="1368" w:type="dxa"/>
          </w:tcPr>
          <w:p>
            <w:pPr>
              <w:pStyle w:val="TableParagraph"/>
              <w:spacing w:line="195" w:lineRule="exact"/>
              <w:ind w:left="107"/>
              <w:rPr>
                <w:sz w:val="20"/>
              </w:rPr>
            </w:pPr>
            <w:r>
              <w:rPr>
                <w:sz w:val="20"/>
              </w:rPr>
              <w:t>002</w:t>
            </w:r>
          </w:p>
        </w:tc>
        <w:tc>
          <w:tcPr>
            <w:tcW w:w="4722" w:type="dxa"/>
          </w:tcPr>
          <w:p>
            <w:pPr>
              <w:pStyle w:val="TableParagraph"/>
              <w:spacing w:line="195" w:lineRule="exact"/>
              <w:ind w:left="105"/>
              <w:rPr>
                <w:sz w:val="20"/>
              </w:rPr>
            </w:pPr>
            <w:r>
              <w:rPr>
                <w:sz w:val="20"/>
              </w:rPr>
              <w:t>Volume of ethanol</w:t>
            </w:r>
          </w:p>
        </w:tc>
        <w:tc>
          <w:tcPr>
            <w:tcW w:w="1938" w:type="dxa"/>
          </w:tcPr>
          <w:p>
            <w:pPr>
              <w:pStyle w:val="TableParagraph"/>
              <w:spacing w:line="195" w:lineRule="exact"/>
              <w:ind w:left="107"/>
              <w:rPr>
                <w:sz w:val="20"/>
              </w:rPr>
            </w:pPr>
            <w:r>
              <w:rPr>
                <w:sz w:val="20"/>
              </w:rPr>
              <w:t>02</w:t>
            </w:r>
          </w:p>
        </w:tc>
      </w:tr>
      <w:tr>
        <w:trPr>
          <w:trHeight w:val="380" w:hRule="atLeast"/>
        </w:trPr>
        <w:tc>
          <w:tcPr>
            <w:tcW w:w="1368" w:type="dxa"/>
          </w:tcPr>
          <w:p>
            <w:pPr>
              <w:pStyle w:val="TableParagraph"/>
              <w:spacing w:line="195" w:lineRule="exact"/>
              <w:ind w:left="107"/>
              <w:rPr>
                <w:sz w:val="20"/>
              </w:rPr>
            </w:pPr>
            <w:r>
              <w:rPr>
                <w:sz w:val="20"/>
              </w:rPr>
              <w:t>003</w:t>
            </w:r>
          </w:p>
        </w:tc>
        <w:tc>
          <w:tcPr>
            <w:tcW w:w="4722" w:type="dxa"/>
          </w:tcPr>
          <w:p>
            <w:pPr>
              <w:pStyle w:val="TableParagraph"/>
              <w:spacing w:line="195" w:lineRule="exact"/>
              <w:ind w:left="105"/>
              <w:rPr>
                <w:sz w:val="20"/>
              </w:rPr>
            </w:pPr>
            <w:r>
              <w:rPr>
                <w:sz w:val="20"/>
              </w:rPr>
              <w:t>Volume of other substances (if any) in the blend</w:t>
            </w:r>
          </w:p>
        </w:tc>
        <w:tc>
          <w:tcPr>
            <w:tcW w:w="1938" w:type="dxa"/>
          </w:tcPr>
          <w:p>
            <w:pPr>
              <w:pStyle w:val="TableParagraph"/>
              <w:spacing w:line="195" w:lineRule="exact"/>
              <w:ind w:left="107"/>
              <w:rPr>
                <w:sz w:val="20"/>
              </w:rPr>
            </w:pPr>
            <w:r>
              <w:rPr>
                <w:sz w:val="20"/>
              </w:rPr>
              <w:t>03</w:t>
            </w:r>
          </w:p>
        </w:tc>
      </w:tr>
    </w:tbl>
    <w:p>
      <w:pPr>
        <w:pStyle w:val="BodyText"/>
        <w:spacing w:before="9"/>
        <w:rPr>
          <w:sz w:val="19"/>
        </w:rPr>
      </w:pPr>
    </w:p>
    <w:p>
      <w:pPr>
        <w:pStyle w:val="BodyText"/>
        <w:ind w:left="1521" w:right="1245"/>
      </w:pPr>
      <w:r>
        <w:rPr/>
        <w:t>In the case of blends containing petroleum oils, each Rate Number has an associated statistical code. To enable importers and the Australian Bureau of Statistics to maintain accurate records, it is important that when creating import declarations in the ICS for petroleum oil blends, importers use the appropriate Rate Number and its associated statistical code. This applies even if all the components of the blend have the same duty rate.</w:t>
      </w:r>
    </w:p>
    <w:p>
      <w:pPr>
        <w:pStyle w:val="BodyText"/>
        <w:spacing w:before="10"/>
        <w:rPr>
          <w:sz w:val="19"/>
        </w:rPr>
      </w:pPr>
    </w:p>
    <w:p>
      <w:pPr>
        <w:pStyle w:val="BodyText"/>
        <w:spacing w:before="1"/>
        <w:ind w:left="1521" w:right="1202"/>
      </w:pPr>
      <w:r>
        <w:rPr/>
        <w:t>For example, a blend of 100 litres of gasoline and ethanol containing 90 litres of gasoline and 10 litres of ethanol requires two import declaration lines, the first (90 litres) using Rate Number 001 and statistical code 01 and the second (10 litres) using Rate Number 002 and statistical code 02.</w:t>
      </w:r>
    </w:p>
    <w:p>
      <w:pPr>
        <w:pStyle w:val="BodyText"/>
      </w:pPr>
    </w:p>
    <w:p>
      <w:pPr>
        <w:pStyle w:val="Heading1"/>
        <w:spacing w:before="1"/>
      </w:pPr>
      <w:r>
        <w:rPr/>
        <w:t>Changed tariff classifications for diesel and gasoline</w:t>
      </w:r>
    </w:p>
    <w:p>
      <w:pPr>
        <w:pStyle w:val="BodyText"/>
        <w:spacing w:before="229"/>
        <w:ind w:left="1521" w:right="1200"/>
      </w:pPr>
      <w:r>
        <w:rPr/>
        <w:t>As a consequence of the creation of new subheadings for blends of gasoline and ethanol and diesel and ethanol, tariff classification numbers and/or statistical codes for diesel and gasoline will also change.</w:t>
      </w:r>
    </w:p>
    <w:p>
      <w:pPr>
        <w:pStyle w:val="BodyText"/>
      </w:pPr>
    </w:p>
    <w:p>
      <w:pPr>
        <w:pStyle w:val="BodyText"/>
        <w:ind w:left="1521" w:right="1157"/>
      </w:pPr>
      <w:r>
        <w:rPr/>
        <w:t>In brief, the classification for petroleum diesel, not blended with biodiesel or ethanol, will be subheading 2710.19.28, (statistical code 30 (ships’ bunkers) and 31 (other), respectively, with unit of quantity litres).</w:t>
      </w:r>
    </w:p>
    <w:p>
      <w:pPr>
        <w:pStyle w:val="BodyText"/>
      </w:pPr>
    </w:p>
    <w:p>
      <w:pPr>
        <w:pStyle w:val="BodyText"/>
        <w:ind w:left="1521" w:right="1223"/>
      </w:pPr>
      <w:r>
        <w:rPr/>
        <w:t>Gasoline, not blended with ethanol, will continue to be classified in subheading 2710.11.69, but with new statistical code 40, with unit of quantity litres.</w:t>
      </w:r>
    </w:p>
    <w:p>
      <w:pPr>
        <w:pStyle w:val="BodyText"/>
      </w:pPr>
    </w:p>
    <w:p>
      <w:pPr>
        <w:pStyle w:val="BodyText"/>
        <w:spacing w:before="1"/>
        <w:ind w:left="1521"/>
      </w:pPr>
      <w:r>
        <w:rPr/>
        <w:t>Similar changes occur in subheadings 2710.91 and 2710.99, covering goods defined as waste oils.</w:t>
      </w:r>
    </w:p>
    <w:p>
      <w:pPr>
        <w:pStyle w:val="BodyText"/>
        <w:spacing w:before="11"/>
        <w:rPr>
          <w:sz w:val="19"/>
        </w:rPr>
      </w:pPr>
    </w:p>
    <w:p>
      <w:pPr>
        <w:pStyle w:val="Heading1"/>
        <w:ind w:right="1226"/>
      </w:pPr>
      <w:r>
        <w:rPr/>
        <w:t>Amendments operative from 1 January 2012 – light oils and preparations and biodiesel</w:t>
      </w:r>
    </w:p>
    <w:p>
      <w:pPr>
        <w:pStyle w:val="BodyText"/>
        <w:spacing w:before="230"/>
        <w:ind w:left="1521" w:right="1202"/>
      </w:pPr>
      <w:r>
        <w:rPr/>
        <w:t>The International Harmonized Commodity Description and Coding System, commonly referred to as the Harmonized System, forms the basis of Australia’s Customs Tariff. Australia will implement changes resulting from the fourth review of the Harmonized System on 1 January 2012.</w:t>
      </w:r>
    </w:p>
    <w:p>
      <w:pPr>
        <w:pStyle w:val="BodyText"/>
        <w:spacing w:before="10"/>
        <w:rPr>
          <w:sz w:val="19"/>
        </w:rPr>
      </w:pPr>
    </w:p>
    <w:p>
      <w:pPr>
        <w:pStyle w:val="BodyText"/>
        <w:spacing w:before="1"/>
        <w:ind w:left="1521" w:right="953"/>
      </w:pPr>
      <w:r>
        <w:rPr/>
        <w:t>The </w:t>
      </w:r>
      <w:r>
        <w:rPr>
          <w:i/>
        </w:rPr>
        <w:t>Customs Tariff Amendment (2012 Harmonized System Changes) Act 2011 </w:t>
      </w:r>
      <w:r>
        <w:rPr/>
        <w:t>will make further changes to the Customs Tariff, with effect from 1 January 2012. A number of these amendments will impact on the Customs Tariff provisions relating to petroleum fuels. In particular, these amendments will create a new subheading 2710.20.00 for certain biodiesel blends, renumber subheading 2710.11 (light oils and preparations) as 2710.12 and create a new heading 3826 for biodiesel and other biodiesel blends. Consequently, the Alternative Fuels Act contains amendments effective from</w:t>
      </w:r>
    </w:p>
    <w:p>
      <w:pPr>
        <w:pStyle w:val="BodyText"/>
        <w:ind w:left="1521"/>
      </w:pPr>
      <w:r>
        <w:rPr/>
        <w:t>1 January 2012, that reflect the new subheadings that will enter into force from that date.</w:t>
      </w:r>
    </w:p>
    <w:p>
      <w:pPr>
        <w:pStyle w:val="BodyText"/>
        <w:spacing w:before="1"/>
      </w:pPr>
    </w:p>
    <w:p>
      <w:pPr>
        <w:pStyle w:val="BodyText"/>
        <w:ind w:left="1521" w:right="2590"/>
      </w:pPr>
      <w:r>
        <w:rPr/>
        <w:t>A number of the subheadings created on 1 December 2011 will therefore change on 1 January 2012.</w:t>
      </w:r>
    </w:p>
    <w:p>
      <w:pPr>
        <w:spacing w:after="0"/>
        <w:sectPr>
          <w:pgSz w:w="11910" w:h="16840"/>
          <w:pgMar w:top="1060" w:bottom="280" w:left="180" w:right="160"/>
        </w:sectPr>
      </w:pPr>
    </w:p>
    <w:p>
      <w:pPr>
        <w:pStyle w:val="BodyText"/>
        <w:spacing w:before="78"/>
        <w:ind w:left="398" w:right="700"/>
        <w:jc w:val="center"/>
      </w:pPr>
      <w:r>
        <w:rPr/>
        <w:t>-6-</w:t>
      </w:r>
    </w:p>
    <w:p>
      <w:pPr>
        <w:pStyle w:val="BodyText"/>
        <w:spacing w:before="5"/>
        <w:rPr>
          <w:sz w:val="19"/>
        </w:rPr>
      </w:pPr>
    </w:p>
    <w:p>
      <w:pPr>
        <w:pStyle w:val="Heading1"/>
      </w:pPr>
      <w:r>
        <w:rPr/>
        <w:t>Concordances of tariff subheadings</w:t>
      </w:r>
    </w:p>
    <w:p>
      <w:pPr>
        <w:pStyle w:val="BodyText"/>
        <w:spacing w:before="230"/>
        <w:ind w:left="1521"/>
      </w:pPr>
      <w:r>
        <w:rPr>
          <w:u w:val="single"/>
        </w:rPr>
        <w:t>Changes on 1 December 2011</w:t>
      </w:r>
    </w:p>
    <w:p>
      <w:pPr>
        <w:pStyle w:val="BodyText"/>
        <w:spacing w:before="9"/>
        <w:rPr>
          <w:sz w:val="11"/>
        </w:rPr>
      </w:pPr>
    </w:p>
    <w:p>
      <w:pPr>
        <w:pStyle w:val="BodyText"/>
        <w:spacing w:before="94"/>
        <w:ind w:left="1521" w:right="1313"/>
      </w:pPr>
      <w:r>
        <w:rPr/>
        <w:t>Attachment A is a concordance of tariff subheadings affected by the changes to the Customs Tariff contained in the Alternative Fuels Act that have effect on 1 December 2011.</w:t>
      </w:r>
    </w:p>
    <w:p>
      <w:pPr>
        <w:pStyle w:val="BodyText"/>
      </w:pPr>
    </w:p>
    <w:p>
      <w:pPr>
        <w:pStyle w:val="BodyText"/>
        <w:ind w:left="1521"/>
      </w:pPr>
      <w:r>
        <w:rPr>
          <w:u w:val="single"/>
        </w:rPr>
        <w:t>Changes on 1 January 2012</w:t>
      </w:r>
    </w:p>
    <w:p>
      <w:pPr>
        <w:pStyle w:val="BodyText"/>
        <w:spacing w:before="9"/>
        <w:rPr>
          <w:sz w:val="11"/>
        </w:rPr>
      </w:pPr>
    </w:p>
    <w:p>
      <w:pPr>
        <w:pStyle w:val="BodyText"/>
        <w:spacing w:before="94"/>
        <w:ind w:left="1521" w:right="1457"/>
      </w:pPr>
      <w:r>
        <w:rPr/>
        <w:t>Attachment B is a concordance linking those subheadings, mainly relating to diesel, gasoline and biodiesel, that will exist post December 2011, with the tariff subheadings applicable post</w:t>
      </w:r>
    </w:p>
    <w:p>
      <w:pPr>
        <w:pStyle w:val="BodyText"/>
        <w:spacing w:line="230" w:lineRule="exact"/>
        <w:ind w:left="1521"/>
      </w:pPr>
      <w:r>
        <w:rPr/>
        <w:t>January 2012.</w:t>
      </w:r>
    </w:p>
    <w:p>
      <w:pPr>
        <w:pStyle w:val="Heading1"/>
        <w:spacing w:before="191"/>
      </w:pPr>
      <w:r>
        <w:rPr/>
        <w:t>Statistical Codes</w:t>
      </w:r>
    </w:p>
    <w:p>
      <w:pPr>
        <w:pStyle w:val="BodyText"/>
        <w:spacing w:before="230"/>
        <w:ind w:left="1521" w:right="1902"/>
        <w:jc w:val="both"/>
      </w:pPr>
      <w:r>
        <w:rPr/>
        <w:t>The Australian Bureau of Statistics has provided new statistical codes in connection with the changes outlined above. As indicated, importers should note that a number of existing tariff subheadings and statistical codes will not operate from 1 December 2011.</w:t>
      </w:r>
    </w:p>
    <w:p>
      <w:pPr>
        <w:pStyle w:val="BodyText"/>
      </w:pPr>
    </w:p>
    <w:p>
      <w:pPr>
        <w:pStyle w:val="BodyText"/>
        <w:ind w:left="1521" w:right="2113"/>
      </w:pPr>
      <w:r>
        <w:rPr/>
        <w:t>There will be further changes to the subheadings and their associated statistical codes on 1 January 2012.</w:t>
      </w:r>
    </w:p>
    <w:p>
      <w:pPr>
        <w:pStyle w:val="BodyText"/>
      </w:pPr>
    </w:p>
    <w:p>
      <w:pPr>
        <w:pStyle w:val="BodyText"/>
        <w:spacing w:before="1"/>
        <w:ind w:left="1521" w:right="1547"/>
      </w:pPr>
      <w:r>
        <w:rPr/>
        <w:t>New subheadings and statistical codes are set out in the accompanying Customs Tariff Working Pages.</w:t>
      </w:r>
    </w:p>
    <w:p>
      <w:pPr>
        <w:pStyle w:val="BodyText"/>
      </w:pPr>
    </w:p>
    <w:p>
      <w:pPr>
        <w:pStyle w:val="Heading1"/>
        <w:jc w:val="both"/>
      </w:pPr>
      <w:r>
        <w:rPr/>
        <w:t>Customs Tariff Working Pages</w:t>
      </w:r>
    </w:p>
    <w:p>
      <w:pPr>
        <w:pStyle w:val="BodyText"/>
        <w:spacing w:before="228"/>
        <w:ind w:left="1521"/>
        <w:jc w:val="both"/>
      </w:pPr>
      <w:r>
        <w:rPr>
          <w:u w:val="single"/>
        </w:rPr>
        <w:t>Changes operative 1 December 2011</w:t>
      </w:r>
    </w:p>
    <w:p>
      <w:pPr>
        <w:pStyle w:val="BodyText"/>
        <w:spacing w:before="11"/>
        <w:rPr>
          <w:sz w:val="11"/>
        </w:rPr>
      </w:pPr>
    </w:p>
    <w:p>
      <w:pPr>
        <w:pStyle w:val="BodyText"/>
        <w:spacing w:before="94"/>
        <w:ind w:left="1521" w:right="1290"/>
      </w:pPr>
      <w:r>
        <w:rPr/>
        <w:t>Customs and Border Protection will issue the following Customs Tariff Working Pages in the week commencing 24 October 2011 to reflect the changes relating to alternative fuels that will take effect on 1 December 2011. These pages will contain details of tariff classification numbers, statistical codes, and, where required, details of the provisions of the regulation amendments.</w:t>
      </w:r>
    </w:p>
    <w:p>
      <w:pPr>
        <w:pStyle w:val="BodyText"/>
      </w:pPr>
    </w:p>
    <w:p>
      <w:pPr>
        <w:pStyle w:val="BodyText"/>
        <w:ind w:left="1521" w:right="1125" w:hanging="1"/>
      </w:pPr>
      <w:r>
        <w:rPr>
          <w:u w:val="single"/>
        </w:rPr>
        <w:t>Table 3 – List of customs tariff pages issued for the commencement of alternative fuels legislation on</w:t>
      </w:r>
      <w:r>
        <w:rPr/>
        <w:t> </w:t>
      </w:r>
      <w:r>
        <w:rPr>
          <w:u w:val="single"/>
        </w:rPr>
        <w:t>1 December 2011</w:t>
      </w:r>
    </w:p>
    <w:p>
      <w:pPr>
        <w:pStyle w:val="BodyText"/>
        <w:spacing w:before="6"/>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2061"/>
        <w:gridCol w:w="1953"/>
        <w:gridCol w:w="1542"/>
      </w:tblGrid>
      <w:tr>
        <w:trPr>
          <w:trHeight w:val="341" w:hRule="atLeast"/>
        </w:trPr>
        <w:tc>
          <w:tcPr>
            <w:tcW w:w="1594" w:type="dxa"/>
          </w:tcPr>
          <w:p>
            <w:pPr>
              <w:pStyle w:val="TableParagraph"/>
              <w:spacing w:line="224" w:lineRule="exact"/>
              <w:ind w:left="50"/>
              <w:rPr>
                <w:sz w:val="20"/>
              </w:rPr>
            </w:pPr>
            <w:bookmarkStart w:name="Schedule 3" w:id="3"/>
            <w:bookmarkEnd w:id="3"/>
            <w:r>
              <w:rPr/>
            </w:r>
            <w:r>
              <w:rPr>
                <w:sz w:val="20"/>
                <w:u w:val="single"/>
              </w:rPr>
              <w:t>Schedule 3</w:t>
            </w:r>
          </w:p>
        </w:tc>
        <w:tc>
          <w:tcPr>
            <w:tcW w:w="5556" w:type="dxa"/>
            <w:gridSpan w:val="3"/>
          </w:tcPr>
          <w:p>
            <w:pPr>
              <w:pStyle w:val="TableParagraph"/>
              <w:rPr>
                <w:rFonts w:ascii="Times New Roman"/>
                <w:sz w:val="20"/>
              </w:rPr>
            </w:pPr>
          </w:p>
        </w:tc>
      </w:tr>
      <w:tr>
        <w:trPr>
          <w:trHeight w:val="344" w:hRule="atLeast"/>
        </w:trPr>
        <w:tc>
          <w:tcPr>
            <w:tcW w:w="1594" w:type="dxa"/>
          </w:tcPr>
          <w:p>
            <w:pPr>
              <w:pStyle w:val="TableParagraph"/>
              <w:spacing w:line="213" w:lineRule="exact" w:before="111"/>
              <w:ind w:left="50"/>
              <w:rPr>
                <w:sz w:val="20"/>
              </w:rPr>
            </w:pPr>
            <w:r>
              <w:rPr>
                <w:sz w:val="20"/>
              </w:rPr>
              <w:t>22/3 (R.11)</w:t>
            </w:r>
          </w:p>
        </w:tc>
        <w:tc>
          <w:tcPr>
            <w:tcW w:w="2061" w:type="dxa"/>
          </w:tcPr>
          <w:p>
            <w:pPr>
              <w:pStyle w:val="TableParagraph"/>
              <w:spacing w:line="213" w:lineRule="exact" w:before="111"/>
              <w:ind w:left="542"/>
              <w:rPr>
                <w:sz w:val="20"/>
              </w:rPr>
            </w:pPr>
            <w:r>
              <w:rPr>
                <w:sz w:val="20"/>
              </w:rPr>
              <w:t>27/7 (R.22)</w:t>
            </w:r>
          </w:p>
        </w:tc>
        <w:tc>
          <w:tcPr>
            <w:tcW w:w="1953" w:type="dxa"/>
          </w:tcPr>
          <w:p>
            <w:pPr>
              <w:pStyle w:val="TableParagraph"/>
              <w:spacing w:line="213" w:lineRule="exact" w:before="111"/>
              <w:ind w:left="460"/>
              <w:rPr>
                <w:sz w:val="20"/>
              </w:rPr>
            </w:pPr>
            <w:r>
              <w:rPr>
                <w:sz w:val="20"/>
              </w:rPr>
              <w:t>27/15 (R.3)</w:t>
            </w:r>
          </w:p>
        </w:tc>
        <w:tc>
          <w:tcPr>
            <w:tcW w:w="1542" w:type="dxa"/>
          </w:tcPr>
          <w:p>
            <w:pPr>
              <w:pStyle w:val="TableParagraph"/>
              <w:spacing w:line="213" w:lineRule="exact" w:before="111"/>
              <w:ind w:left="488"/>
              <w:rPr>
                <w:sz w:val="20"/>
              </w:rPr>
            </w:pPr>
            <w:r>
              <w:rPr>
                <w:sz w:val="20"/>
              </w:rPr>
              <w:t>38/15 (R.3)</w:t>
            </w:r>
          </w:p>
        </w:tc>
      </w:tr>
      <w:tr>
        <w:trPr>
          <w:trHeight w:val="804" w:hRule="atLeast"/>
        </w:trPr>
        <w:tc>
          <w:tcPr>
            <w:tcW w:w="1594" w:type="dxa"/>
          </w:tcPr>
          <w:p>
            <w:pPr>
              <w:pStyle w:val="TableParagraph"/>
              <w:spacing w:line="227" w:lineRule="exact"/>
              <w:ind w:left="50"/>
              <w:rPr>
                <w:sz w:val="20"/>
              </w:rPr>
            </w:pPr>
            <w:r>
              <w:rPr>
                <w:sz w:val="20"/>
              </w:rPr>
              <w:t>27/1 (R.8)</w:t>
            </w:r>
          </w:p>
          <w:p>
            <w:pPr>
              <w:pStyle w:val="TableParagraph"/>
              <w:spacing w:line="230" w:lineRule="exact"/>
              <w:ind w:left="50"/>
              <w:rPr>
                <w:sz w:val="20"/>
              </w:rPr>
            </w:pPr>
            <w:r>
              <w:rPr>
                <w:sz w:val="20"/>
              </w:rPr>
              <w:t>27/3</w:t>
            </w:r>
            <w:r>
              <w:rPr>
                <w:spacing w:val="-2"/>
                <w:sz w:val="20"/>
              </w:rPr>
              <w:t> </w:t>
            </w:r>
            <w:r>
              <w:rPr>
                <w:sz w:val="20"/>
              </w:rPr>
              <w:t>(R.20)</w:t>
            </w:r>
          </w:p>
          <w:p>
            <w:pPr>
              <w:pStyle w:val="TableParagraph"/>
              <w:ind w:left="50"/>
              <w:rPr>
                <w:sz w:val="20"/>
              </w:rPr>
            </w:pPr>
            <w:r>
              <w:rPr>
                <w:sz w:val="20"/>
              </w:rPr>
              <w:t>27/5</w:t>
            </w:r>
            <w:r>
              <w:rPr>
                <w:spacing w:val="-2"/>
                <w:sz w:val="20"/>
              </w:rPr>
              <w:t> </w:t>
            </w:r>
            <w:r>
              <w:rPr>
                <w:sz w:val="20"/>
              </w:rPr>
              <w:t>(R.26)</w:t>
            </w:r>
          </w:p>
        </w:tc>
        <w:tc>
          <w:tcPr>
            <w:tcW w:w="2061" w:type="dxa"/>
          </w:tcPr>
          <w:p>
            <w:pPr>
              <w:pStyle w:val="TableParagraph"/>
              <w:spacing w:line="227" w:lineRule="exact"/>
              <w:ind w:left="542"/>
              <w:rPr>
                <w:sz w:val="20"/>
              </w:rPr>
            </w:pPr>
            <w:r>
              <w:rPr>
                <w:sz w:val="20"/>
              </w:rPr>
              <w:t>27/9</w:t>
            </w:r>
            <w:r>
              <w:rPr>
                <w:spacing w:val="-2"/>
                <w:sz w:val="20"/>
              </w:rPr>
              <w:t> </w:t>
            </w:r>
            <w:r>
              <w:rPr>
                <w:sz w:val="20"/>
              </w:rPr>
              <w:t>(R.19)</w:t>
            </w:r>
          </w:p>
          <w:p>
            <w:pPr>
              <w:pStyle w:val="TableParagraph"/>
              <w:spacing w:line="230" w:lineRule="exact"/>
              <w:ind w:left="542"/>
              <w:rPr>
                <w:sz w:val="20"/>
              </w:rPr>
            </w:pPr>
            <w:r>
              <w:rPr>
                <w:sz w:val="20"/>
              </w:rPr>
              <w:t>27/11 (R.8)</w:t>
            </w:r>
          </w:p>
          <w:p>
            <w:pPr>
              <w:pStyle w:val="TableParagraph"/>
              <w:ind w:left="542"/>
              <w:rPr>
                <w:sz w:val="20"/>
              </w:rPr>
            </w:pPr>
            <w:r>
              <w:rPr>
                <w:sz w:val="20"/>
              </w:rPr>
              <w:t>27/13 (R.8 )</w:t>
            </w:r>
          </w:p>
        </w:tc>
        <w:tc>
          <w:tcPr>
            <w:tcW w:w="1953" w:type="dxa"/>
          </w:tcPr>
          <w:p>
            <w:pPr>
              <w:pStyle w:val="TableParagraph"/>
              <w:spacing w:line="227" w:lineRule="exact"/>
              <w:ind w:left="460"/>
              <w:rPr>
                <w:sz w:val="20"/>
              </w:rPr>
            </w:pPr>
            <w:r>
              <w:rPr>
                <w:sz w:val="20"/>
              </w:rPr>
              <w:t>27/17 (R.3)</w:t>
            </w:r>
          </w:p>
          <w:p>
            <w:pPr>
              <w:pStyle w:val="TableParagraph"/>
              <w:spacing w:line="230" w:lineRule="exact"/>
              <w:ind w:left="461"/>
              <w:rPr>
                <w:sz w:val="20"/>
              </w:rPr>
            </w:pPr>
            <w:r>
              <w:rPr>
                <w:sz w:val="20"/>
              </w:rPr>
              <w:t>27/19 (R.2)</w:t>
            </w:r>
          </w:p>
          <w:p>
            <w:pPr>
              <w:pStyle w:val="TableParagraph"/>
              <w:ind w:left="461"/>
              <w:rPr>
                <w:sz w:val="20"/>
              </w:rPr>
            </w:pPr>
            <w:r>
              <w:rPr>
                <w:sz w:val="20"/>
              </w:rPr>
              <w:t>27/21 (R.2)</w:t>
            </w:r>
          </w:p>
        </w:tc>
        <w:tc>
          <w:tcPr>
            <w:tcW w:w="1542" w:type="dxa"/>
          </w:tcPr>
          <w:p>
            <w:pPr>
              <w:pStyle w:val="TableParagraph"/>
              <w:spacing w:line="227" w:lineRule="exact"/>
              <w:ind w:left="488"/>
              <w:rPr>
                <w:sz w:val="20"/>
              </w:rPr>
            </w:pPr>
            <w:r>
              <w:rPr>
                <w:sz w:val="20"/>
              </w:rPr>
              <w:t>38/17 (R.0)</w:t>
            </w:r>
          </w:p>
        </w:tc>
      </w:tr>
      <w:tr>
        <w:trPr>
          <w:trHeight w:val="460" w:hRule="atLeast"/>
        </w:trPr>
        <w:tc>
          <w:tcPr>
            <w:tcW w:w="1594" w:type="dxa"/>
          </w:tcPr>
          <w:p>
            <w:pPr>
              <w:pStyle w:val="TableParagraph"/>
              <w:spacing w:before="112"/>
              <w:ind w:left="50"/>
              <w:rPr>
                <w:sz w:val="20"/>
              </w:rPr>
            </w:pPr>
            <w:r>
              <w:rPr>
                <w:sz w:val="20"/>
                <w:u w:val="single"/>
              </w:rPr>
              <w:t>Schedule 5</w:t>
            </w:r>
          </w:p>
        </w:tc>
        <w:tc>
          <w:tcPr>
            <w:tcW w:w="2061" w:type="dxa"/>
          </w:tcPr>
          <w:p>
            <w:pPr>
              <w:pStyle w:val="TableParagraph"/>
              <w:spacing w:before="111"/>
              <w:ind w:left="542"/>
              <w:rPr>
                <w:sz w:val="20"/>
              </w:rPr>
            </w:pPr>
            <w:r>
              <w:rPr>
                <w:sz w:val="20"/>
                <w:u w:val="single"/>
              </w:rPr>
              <w:t>Schedule 6</w:t>
            </w:r>
          </w:p>
        </w:tc>
        <w:tc>
          <w:tcPr>
            <w:tcW w:w="1953" w:type="dxa"/>
          </w:tcPr>
          <w:p>
            <w:pPr>
              <w:pStyle w:val="TableParagraph"/>
              <w:spacing w:before="111"/>
              <w:ind w:left="461"/>
              <w:rPr>
                <w:sz w:val="20"/>
              </w:rPr>
            </w:pPr>
            <w:r>
              <w:rPr>
                <w:sz w:val="20"/>
                <w:u w:val="single"/>
              </w:rPr>
              <w:t>Schedule 7</w:t>
            </w:r>
          </w:p>
        </w:tc>
        <w:tc>
          <w:tcPr>
            <w:tcW w:w="1542" w:type="dxa"/>
          </w:tcPr>
          <w:p>
            <w:pPr>
              <w:pStyle w:val="TableParagraph"/>
              <w:spacing w:before="111"/>
              <w:ind w:left="488"/>
              <w:rPr>
                <w:sz w:val="20"/>
              </w:rPr>
            </w:pPr>
            <w:r>
              <w:rPr>
                <w:sz w:val="20"/>
                <w:u w:val="single"/>
              </w:rPr>
              <w:t>Schedule 8</w:t>
            </w:r>
          </w:p>
        </w:tc>
      </w:tr>
      <w:tr>
        <w:trPr>
          <w:trHeight w:val="344" w:hRule="atLeast"/>
        </w:trPr>
        <w:tc>
          <w:tcPr>
            <w:tcW w:w="1594" w:type="dxa"/>
          </w:tcPr>
          <w:p>
            <w:pPr>
              <w:pStyle w:val="TableParagraph"/>
              <w:spacing w:line="213" w:lineRule="exact" w:before="112"/>
              <w:ind w:left="50"/>
              <w:rPr>
                <w:sz w:val="20"/>
              </w:rPr>
            </w:pPr>
            <w:r>
              <w:rPr>
                <w:sz w:val="20"/>
              </w:rPr>
              <w:t>5/3 (R.22)</w:t>
            </w:r>
          </w:p>
        </w:tc>
        <w:tc>
          <w:tcPr>
            <w:tcW w:w="2061" w:type="dxa"/>
          </w:tcPr>
          <w:p>
            <w:pPr>
              <w:pStyle w:val="TableParagraph"/>
              <w:spacing w:line="213" w:lineRule="exact" w:before="112"/>
              <w:ind w:left="542"/>
              <w:rPr>
                <w:sz w:val="20"/>
              </w:rPr>
            </w:pPr>
            <w:r>
              <w:rPr>
                <w:sz w:val="20"/>
              </w:rPr>
              <w:t>6/3 (R.21)</w:t>
            </w:r>
          </w:p>
        </w:tc>
        <w:tc>
          <w:tcPr>
            <w:tcW w:w="1953" w:type="dxa"/>
          </w:tcPr>
          <w:p>
            <w:pPr>
              <w:pStyle w:val="TableParagraph"/>
              <w:spacing w:line="213" w:lineRule="exact" w:before="112"/>
              <w:ind w:left="462"/>
              <w:rPr>
                <w:sz w:val="20"/>
              </w:rPr>
            </w:pPr>
            <w:r>
              <w:rPr>
                <w:sz w:val="20"/>
              </w:rPr>
              <w:t>7/3 (R.9)</w:t>
            </w:r>
          </w:p>
        </w:tc>
        <w:tc>
          <w:tcPr>
            <w:tcW w:w="1542" w:type="dxa"/>
          </w:tcPr>
          <w:p>
            <w:pPr>
              <w:pStyle w:val="TableParagraph"/>
              <w:spacing w:line="213" w:lineRule="exact" w:before="112"/>
              <w:ind w:left="488"/>
              <w:rPr>
                <w:sz w:val="20"/>
              </w:rPr>
            </w:pPr>
            <w:r>
              <w:rPr>
                <w:sz w:val="20"/>
              </w:rPr>
              <w:t>8/3 (R.7)</w:t>
            </w:r>
          </w:p>
        </w:tc>
      </w:tr>
      <w:tr>
        <w:trPr>
          <w:trHeight w:val="229" w:hRule="atLeast"/>
        </w:trPr>
        <w:tc>
          <w:tcPr>
            <w:tcW w:w="1594" w:type="dxa"/>
          </w:tcPr>
          <w:p>
            <w:pPr>
              <w:pStyle w:val="TableParagraph"/>
              <w:spacing w:line="210" w:lineRule="exact"/>
              <w:ind w:left="50"/>
              <w:rPr>
                <w:sz w:val="20"/>
              </w:rPr>
            </w:pPr>
            <w:r>
              <w:rPr>
                <w:sz w:val="20"/>
              </w:rPr>
              <w:t>5/5 (R.5)</w:t>
            </w:r>
          </w:p>
        </w:tc>
        <w:tc>
          <w:tcPr>
            <w:tcW w:w="2061" w:type="dxa"/>
          </w:tcPr>
          <w:p>
            <w:pPr>
              <w:pStyle w:val="TableParagraph"/>
              <w:spacing w:line="210" w:lineRule="exact"/>
              <w:ind w:left="542"/>
              <w:rPr>
                <w:sz w:val="20"/>
              </w:rPr>
            </w:pPr>
            <w:r>
              <w:rPr>
                <w:sz w:val="20"/>
              </w:rPr>
              <w:t>6/5 (R.5)</w:t>
            </w:r>
          </w:p>
        </w:tc>
        <w:tc>
          <w:tcPr>
            <w:tcW w:w="1953" w:type="dxa"/>
          </w:tcPr>
          <w:p>
            <w:pPr>
              <w:pStyle w:val="TableParagraph"/>
              <w:spacing w:line="210" w:lineRule="exact"/>
              <w:ind w:left="461"/>
              <w:rPr>
                <w:sz w:val="20"/>
              </w:rPr>
            </w:pPr>
            <w:r>
              <w:rPr>
                <w:sz w:val="20"/>
              </w:rPr>
              <w:t>7/5 (R.2)</w:t>
            </w:r>
          </w:p>
        </w:tc>
        <w:tc>
          <w:tcPr>
            <w:tcW w:w="1542" w:type="dxa"/>
          </w:tcPr>
          <w:p>
            <w:pPr>
              <w:pStyle w:val="TableParagraph"/>
              <w:spacing w:line="210" w:lineRule="exact"/>
              <w:ind w:left="488"/>
              <w:rPr>
                <w:sz w:val="20"/>
              </w:rPr>
            </w:pPr>
            <w:r>
              <w:rPr>
                <w:sz w:val="20"/>
              </w:rPr>
              <w:t>8/5 (R.2)</w:t>
            </w:r>
          </w:p>
        </w:tc>
      </w:tr>
      <w:tr>
        <w:trPr>
          <w:trHeight w:val="457" w:hRule="atLeast"/>
        </w:trPr>
        <w:tc>
          <w:tcPr>
            <w:tcW w:w="1594" w:type="dxa"/>
          </w:tcPr>
          <w:p>
            <w:pPr>
              <w:pStyle w:val="TableParagraph"/>
              <w:spacing w:line="227" w:lineRule="exact"/>
              <w:ind w:left="50"/>
              <w:rPr>
                <w:sz w:val="20"/>
              </w:rPr>
            </w:pPr>
            <w:r>
              <w:rPr>
                <w:sz w:val="20"/>
              </w:rPr>
              <w:t>5/7 (R.3)</w:t>
            </w:r>
          </w:p>
        </w:tc>
        <w:tc>
          <w:tcPr>
            <w:tcW w:w="2061" w:type="dxa"/>
          </w:tcPr>
          <w:p>
            <w:pPr>
              <w:pStyle w:val="TableParagraph"/>
              <w:spacing w:line="227" w:lineRule="exact"/>
              <w:ind w:left="542"/>
              <w:rPr>
                <w:sz w:val="20"/>
              </w:rPr>
            </w:pPr>
            <w:r>
              <w:rPr>
                <w:sz w:val="20"/>
              </w:rPr>
              <w:t>6/7</w:t>
            </w:r>
            <w:r>
              <w:rPr>
                <w:spacing w:val="-2"/>
                <w:sz w:val="20"/>
              </w:rPr>
              <w:t> </w:t>
            </w:r>
            <w:r>
              <w:rPr>
                <w:sz w:val="20"/>
              </w:rPr>
              <w:t>(R.3)</w:t>
            </w:r>
          </w:p>
          <w:p>
            <w:pPr>
              <w:pStyle w:val="TableParagraph"/>
              <w:spacing w:line="210" w:lineRule="exact"/>
              <w:ind w:left="542"/>
              <w:rPr>
                <w:sz w:val="20"/>
              </w:rPr>
            </w:pPr>
            <w:r>
              <w:rPr>
                <w:sz w:val="20"/>
              </w:rPr>
              <w:t>6/9</w:t>
            </w:r>
            <w:r>
              <w:rPr>
                <w:spacing w:val="-1"/>
                <w:sz w:val="20"/>
              </w:rPr>
              <w:t> </w:t>
            </w:r>
            <w:r>
              <w:rPr>
                <w:sz w:val="20"/>
              </w:rPr>
              <w:t>(R.2)</w:t>
            </w:r>
          </w:p>
        </w:tc>
        <w:tc>
          <w:tcPr>
            <w:tcW w:w="1953" w:type="dxa"/>
          </w:tcPr>
          <w:p>
            <w:pPr>
              <w:pStyle w:val="TableParagraph"/>
              <w:spacing w:line="227" w:lineRule="exact"/>
              <w:ind w:left="461"/>
              <w:rPr>
                <w:sz w:val="20"/>
              </w:rPr>
            </w:pPr>
            <w:r>
              <w:rPr>
                <w:sz w:val="20"/>
              </w:rPr>
              <w:t>7/6A (R.0)</w:t>
            </w:r>
          </w:p>
        </w:tc>
        <w:tc>
          <w:tcPr>
            <w:tcW w:w="1542" w:type="dxa"/>
          </w:tcPr>
          <w:p>
            <w:pPr>
              <w:pStyle w:val="TableParagraph"/>
              <w:spacing w:line="227" w:lineRule="exact"/>
              <w:ind w:left="488"/>
              <w:rPr>
                <w:sz w:val="20"/>
              </w:rPr>
            </w:pPr>
            <w:r>
              <w:rPr>
                <w:sz w:val="20"/>
              </w:rPr>
              <w:t>8/7 (R.1)</w:t>
            </w:r>
          </w:p>
          <w:p>
            <w:pPr>
              <w:pStyle w:val="TableParagraph"/>
              <w:spacing w:line="210" w:lineRule="exact"/>
              <w:ind w:left="488"/>
              <w:rPr>
                <w:sz w:val="20"/>
              </w:rPr>
            </w:pPr>
            <w:r>
              <w:rPr>
                <w:sz w:val="20"/>
              </w:rPr>
              <w:t>8/8A (R.0)</w:t>
            </w:r>
          </w:p>
        </w:tc>
      </w:tr>
    </w:tbl>
    <w:p>
      <w:pPr>
        <w:pStyle w:val="BodyText"/>
        <w:spacing w:before="11"/>
        <w:rPr>
          <w:sz w:val="19"/>
        </w:rPr>
      </w:pPr>
    </w:p>
    <w:p>
      <w:pPr>
        <w:pStyle w:val="BodyText"/>
        <w:ind w:left="1521"/>
      </w:pPr>
      <w:bookmarkStart w:name="Supplementary Provisions" w:id="4"/>
      <w:bookmarkEnd w:id="4"/>
      <w:r>
        <w:rPr/>
      </w:r>
      <w:r>
        <w:rPr>
          <w:u w:val="single"/>
        </w:rPr>
        <w:t>Supplementary Provisions</w:t>
      </w:r>
    </w:p>
    <w:p>
      <w:pPr>
        <w:pStyle w:val="BodyText"/>
        <w:spacing w:before="9"/>
        <w:rPr>
          <w:sz w:val="11"/>
        </w:rPr>
      </w:pPr>
    </w:p>
    <w:p>
      <w:pPr>
        <w:pStyle w:val="BodyText"/>
        <w:spacing w:before="94"/>
        <w:ind w:left="1521" w:right="8684" w:hanging="1"/>
      </w:pPr>
      <w:bookmarkStart w:name="Supplementary Provisions" w:id="5"/>
      <w:bookmarkEnd w:id="5"/>
      <w:r>
        <w:rPr/>
      </w:r>
      <w:r>
        <w:rPr>
          <w:u w:val="single"/>
        </w:rPr>
        <w:t>Supplementary</w:t>
      </w:r>
      <w:r>
        <w:rPr/>
        <w:t> </w:t>
      </w:r>
      <w:r>
        <w:rPr>
          <w:u w:val="single"/>
        </w:rPr>
        <w:t>Provisions</w:t>
      </w:r>
    </w:p>
    <w:p>
      <w:pPr>
        <w:pStyle w:val="BodyText"/>
        <w:spacing w:before="9"/>
        <w:rPr>
          <w:sz w:val="11"/>
        </w:rPr>
      </w:pPr>
    </w:p>
    <w:p>
      <w:pPr>
        <w:pStyle w:val="BodyText"/>
        <w:spacing w:before="94"/>
        <w:ind w:left="1521"/>
      </w:pPr>
      <w:r>
        <w:rPr/>
        <w:t>SP/5 (R.9)</w:t>
      </w:r>
    </w:p>
    <w:p>
      <w:pPr>
        <w:spacing w:after="0"/>
        <w:sectPr>
          <w:pgSz w:w="11910" w:h="16840"/>
          <w:pgMar w:top="1020" w:bottom="280" w:left="180" w:right="160"/>
        </w:sectPr>
      </w:pPr>
    </w:p>
    <w:p>
      <w:pPr>
        <w:pStyle w:val="BodyText"/>
        <w:spacing w:before="71"/>
        <w:ind w:left="5857"/>
      </w:pPr>
      <w:r>
        <w:rPr/>
        <w:t>-7-</w:t>
      </w:r>
    </w:p>
    <w:p>
      <w:pPr>
        <w:pStyle w:val="BodyText"/>
        <w:spacing w:before="11"/>
        <w:rPr>
          <w:sz w:val="19"/>
        </w:rPr>
      </w:pPr>
    </w:p>
    <w:p>
      <w:pPr>
        <w:pStyle w:val="BodyText"/>
        <w:spacing w:line="480" w:lineRule="auto"/>
        <w:ind w:left="1521" w:right="3303"/>
      </w:pPr>
      <w:r>
        <w:rPr/>
        <w:t>These Tariff Working Pages will also be available on the customs website at </w:t>
      </w:r>
      <w:hyperlink r:id="rId6">
        <w:r>
          <w:rPr>
            <w:color w:val="0000FF"/>
            <w:u w:val="single" w:color="0000FF"/>
          </w:rPr>
          <w:t>www.customs.gov.au</w:t>
        </w:r>
      </w:hyperlink>
    </w:p>
    <w:p>
      <w:pPr>
        <w:pStyle w:val="BodyText"/>
        <w:spacing w:line="480" w:lineRule="auto" w:before="1"/>
        <w:ind w:left="1521" w:right="6482"/>
      </w:pPr>
      <w:r>
        <w:rPr/>
        <w:t>then select tariff and working tariff page. </w:t>
      </w:r>
      <w:r>
        <w:rPr>
          <w:u w:val="single"/>
        </w:rPr>
        <w:t>Changes operative 1 January 2012</w:t>
      </w:r>
    </w:p>
    <w:p>
      <w:pPr>
        <w:pStyle w:val="BodyText"/>
        <w:ind w:left="1521" w:right="1224"/>
      </w:pPr>
      <w:r>
        <w:rPr/>
        <w:t>Customs and Border Protection will issue further tariff reprint pages in the near future, in connection with the Harmonized System 2012 amendments. This issue will include further Working Pages relating to gaseous and other fuels, showing changes effective from 1 January 2012. These pages will also set out rates of duty for gaseous fuels post 2012.</w:t>
      </w:r>
    </w:p>
    <w:p>
      <w:pPr>
        <w:pStyle w:val="BodyText"/>
      </w:pPr>
    </w:p>
    <w:p>
      <w:pPr>
        <w:pStyle w:val="BodyText"/>
        <w:ind w:left="1521"/>
      </w:pPr>
      <w:r>
        <w:rPr/>
        <w:t>These additional pages are listed in Table 4.</w:t>
      </w:r>
    </w:p>
    <w:p>
      <w:pPr>
        <w:pStyle w:val="BodyText"/>
      </w:pPr>
    </w:p>
    <w:p>
      <w:pPr>
        <w:pStyle w:val="BodyText"/>
        <w:ind w:left="1521" w:right="1325" w:hanging="1"/>
      </w:pPr>
      <w:r>
        <w:rPr>
          <w:u w:val="single"/>
        </w:rPr>
        <w:t>Table 4 – List of Customs Tariff Working Pages issued in connection with changes to gaseous and</w:t>
      </w:r>
      <w:r>
        <w:rPr/>
        <w:t> </w:t>
      </w:r>
      <w:r>
        <w:rPr>
          <w:u w:val="single"/>
        </w:rPr>
        <w:t>other fuels with effect on 1 January 2012 and subsequent years</w:t>
      </w:r>
    </w:p>
    <w:p>
      <w:pPr>
        <w:pStyle w:val="BodyText"/>
        <w:spacing w:before="5" w:after="1"/>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1988"/>
        <w:gridCol w:w="1981"/>
        <w:gridCol w:w="1542"/>
      </w:tblGrid>
      <w:tr>
        <w:trPr>
          <w:trHeight w:val="341" w:hRule="atLeast"/>
        </w:trPr>
        <w:tc>
          <w:tcPr>
            <w:tcW w:w="1640" w:type="dxa"/>
          </w:tcPr>
          <w:p>
            <w:pPr>
              <w:pStyle w:val="TableParagraph"/>
              <w:spacing w:line="224" w:lineRule="exact"/>
              <w:ind w:left="50"/>
              <w:rPr>
                <w:sz w:val="20"/>
              </w:rPr>
            </w:pPr>
            <w:bookmarkStart w:name="Schedule 3" w:id="6"/>
            <w:bookmarkEnd w:id="6"/>
            <w:r>
              <w:rPr/>
            </w:r>
            <w:r>
              <w:rPr>
                <w:sz w:val="20"/>
                <w:u w:val="single"/>
              </w:rPr>
              <w:t>Schedule 3</w:t>
            </w:r>
          </w:p>
        </w:tc>
        <w:tc>
          <w:tcPr>
            <w:tcW w:w="1988" w:type="dxa"/>
          </w:tcPr>
          <w:p>
            <w:pPr>
              <w:pStyle w:val="TableParagraph"/>
              <w:rPr>
                <w:rFonts w:ascii="Times New Roman"/>
                <w:sz w:val="20"/>
              </w:rPr>
            </w:pPr>
          </w:p>
        </w:tc>
        <w:tc>
          <w:tcPr>
            <w:tcW w:w="1981" w:type="dxa"/>
          </w:tcPr>
          <w:p>
            <w:pPr>
              <w:pStyle w:val="TableParagraph"/>
              <w:rPr>
                <w:rFonts w:ascii="Times New Roman"/>
                <w:sz w:val="20"/>
              </w:rPr>
            </w:pPr>
          </w:p>
        </w:tc>
        <w:tc>
          <w:tcPr>
            <w:tcW w:w="1542" w:type="dxa"/>
          </w:tcPr>
          <w:p>
            <w:pPr>
              <w:pStyle w:val="TableParagraph"/>
              <w:rPr>
                <w:rFonts w:ascii="Times New Roman"/>
                <w:sz w:val="20"/>
              </w:rPr>
            </w:pPr>
          </w:p>
        </w:tc>
      </w:tr>
      <w:tr>
        <w:trPr>
          <w:trHeight w:val="344" w:hRule="atLeast"/>
        </w:trPr>
        <w:tc>
          <w:tcPr>
            <w:tcW w:w="1640" w:type="dxa"/>
          </w:tcPr>
          <w:p>
            <w:pPr>
              <w:pStyle w:val="TableParagraph"/>
              <w:spacing w:line="213" w:lineRule="exact" w:before="111"/>
              <w:ind w:left="50"/>
              <w:rPr>
                <w:sz w:val="20"/>
              </w:rPr>
            </w:pPr>
            <w:r>
              <w:rPr>
                <w:sz w:val="20"/>
              </w:rPr>
              <w:t>27/1 (R.9)</w:t>
            </w:r>
          </w:p>
        </w:tc>
        <w:tc>
          <w:tcPr>
            <w:tcW w:w="1988" w:type="dxa"/>
          </w:tcPr>
          <w:p>
            <w:pPr>
              <w:pStyle w:val="TableParagraph"/>
              <w:spacing w:line="213" w:lineRule="exact" w:before="111"/>
              <w:ind w:left="496"/>
              <w:rPr>
                <w:sz w:val="20"/>
              </w:rPr>
            </w:pPr>
            <w:r>
              <w:rPr>
                <w:sz w:val="20"/>
              </w:rPr>
              <w:t>27/9 (R.20)</w:t>
            </w:r>
          </w:p>
        </w:tc>
        <w:tc>
          <w:tcPr>
            <w:tcW w:w="1981" w:type="dxa"/>
          </w:tcPr>
          <w:p>
            <w:pPr>
              <w:pStyle w:val="TableParagraph"/>
              <w:spacing w:line="213" w:lineRule="exact" w:before="111"/>
              <w:ind w:left="487"/>
              <w:rPr>
                <w:sz w:val="20"/>
              </w:rPr>
            </w:pPr>
            <w:r>
              <w:rPr>
                <w:sz w:val="20"/>
              </w:rPr>
              <w:t>27/21 (R.3)</w:t>
            </w:r>
          </w:p>
        </w:tc>
        <w:tc>
          <w:tcPr>
            <w:tcW w:w="1542" w:type="dxa"/>
          </w:tcPr>
          <w:p>
            <w:pPr>
              <w:pStyle w:val="TableParagraph"/>
              <w:spacing w:line="213" w:lineRule="exact" w:before="111"/>
              <w:ind w:left="487"/>
              <w:rPr>
                <w:sz w:val="20"/>
              </w:rPr>
            </w:pPr>
            <w:r>
              <w:rPr>
                <w:sz w:val="20"/>
              </w:rPr>
              <w:t>38/15 (R.4)</w:t>
            </w:r>
          </w:p>
        </w:tc>
      </w:tr>
      <w:tr>
        <w:trPr>
          <w:trHeight w:val="575" w:hRule="atLeast"/>
        </w:trPr>
        <w:tc>
          <w:tcPr>
            <w:tcW w:w="1640" w:type="dxa"/>
          </w:tcPr>
          <w:p>
            <w:pPr>
              <w:pStyle w:val="TableParagraph"/>
              <w:spacing w:line="227" w:lineRule="exact"/>
              <w:ind w:left="50"/>
              <w:rPr>
                <w:sz w:val="20"/>
              </w:rPr>
            </w:pPr>
            <w:r>
              <w:rPr>
                <w:sz w:val="20"/>
              </w:rPr>
              <w:t>27/3</w:t>
            </w:r>
            <w:r>
              <w:rPr>
                <w:spacing w:val="-2"/>
                <w:sz w:val="20"/>
              </w:rPr>
              <w:t> </w:t>
            </w:r>
            <w:r>
              <w:rPr>
                <w:sz w:val="20"/>
              </w:rPr>
              <w:t>(R.21)</w:t>
            </w:r>
          </w:p>
          <w:p>
            <w:pPr>
              <w:pStyle w:val="TableParagraph"/>
              <w:ind w:left="50"/>
              <w:rPr>
                <w:sz w:val="20"/>
              </w:rPr>
            </w:pPr>
            <w:r>
              <w:rPr>
                <w:sz w:val="20"/>
              </w:rPr>
              <w:t>27/7</w:t>
            </w:r>
            <w:r>
              <w:rPr>
                <w:spacing w:val="-2"/>
                <w:sz w:val="20"/>
              </w:rPr>
              <w:t> </w:t>
            </w:r>
            <w:r>
              <w:rPr>
                <w:sz w:val="20"/>
              </w:rPr>
              <w:t>(R.23)</w:t>
            </w:r>
          </w:p>
        </w:tc>
        <w:tc>
          <w:tcPr>
            <w:tcW w:w="1988" w:type="dxa"/>
          </w:tcPr>
          <w:p>
            <w:pPr>
              <w:pStyle w:val="TableParagraph"/>
              <w:spacing w:line="227" w:lineRule="exact"/>
              <w:ind w:left="496"/>
              <w:rPr>
                <w:sz w:val="20"/>
              </w:rPr>
            </w:pPr>
            <w:r>
              <w:rPr>
                <w:sz w:val="20"/>
              </w:rPr>
              <w:t>27/11 (R.9)</w:t>
            </w:r>
          </w:p>
        </w:tc>
        <w:tc>
          <w:tcPr>
            <w:tcW w:w="1981" w:type="dxa"/>
          </w:tcPr>
          <w:p>
            <w:pPr>
              <w:pStyle w:val="TableParagraph"/>
              <w:spacing w:line="227" w:lineRule="exact"/>
              <w:ind w:left="488"/>
              <w:rPr>
                <w:sz w:val="20"/>
              </w:rPr>
            </w:pPr>
            <w:r>
              <w:rPr>
                <w:sz w:val="20"/>
              </w:rPr>
              <w:t>27/23 (R.1)</w:t>
            </w:r>
          </w:p>
        </w:tc>
        <w:tc>
          <w:tcPr>
            <w:tcW w:w="1542" w:type="dxa"/>
          </w:tcPr>
          <w:p>
            <w:pPr>
              <w:pStyle w:val="TableParagraph"/>
              <w:spacing w:line="227" w:lineRule="exact"/>
              <w:ind w:left="487"/>
              <w:rPr>
                <w:sz w:val="20"/>
              </w:rPr>
            </w:pPr>
            <w:r>
              <w:rPr>
                <w:sz w:val="20"/>
              </w:rPr>
              <w:t>38/17 (R.1)</w:t>
            </w:r>
          </w:p>
        </w:tc>
      </w:tr>
      <w:tr>
        <w:trPr>
          <w:trHeight w:val="459" w:hRule="atLeast"/>
        </w:trPr>
        <w:tc>
          <w:tcPr>
            <w:tcW w:w="1640" w:type="dxa"/>
          </w:tcPr>
          <w:p>
            <w:pPr>
              <w:pStyle w:val="TableParagraph"/>
              <w:spacing w:before="112"/>
              <w:ind w:left="50"/>
              <w:rPr>
                <w:sz w:val="20"/>
              </w:rPr>
            </w:pPr>
            <w:r>
              <w:rPr>
                <w:sz w:val="20"/>
                <w:u w:val="single"/>
              </w:rPr>
              <w:t>Schedule 5</w:t>
            </w:r>
          </w:p>
        </w:tc>
        <w:tc>
          <w:tcPr>
            <w:tcW w:w="1988" w:type="dxa"/>
          </w:tcPr>
          <w:p>
            <w:pPr>
              <w:pStyle w:val="TableParagraph"/>
              <w:spacing w:before="111"/>
              <w:ind w:left="496"/>
              <w:rPr>
                <w:sz w:val="20"/>
              </w:rPr>
            </w:pPr>
            <w:r>
              <w:rPr>
                <w:sz w:val="20"/>
                <w:u w:val="single"/>
              </w:rPr>
              <w:t>Schedule 6</w:t>
            </w:r>
          </w:p>
        </w:tc>
        <w:tc>
          <w:tcPr>
            <w:tcW w:w="1981" w:type="dxa"/>
          </w:tcPr>
          <w:p>
            <w:pPr>
              <w:pStyle w:val="TableParagraph"/>
              <w:spacing w:before="111"/>
              <w:ind w:left="488"/>
              <w:rPr>
                <w:sz w:val="20"/>
              </w:rPr>
            </w:pPr>
            <w:r>
              <w:rPr>
                <w:sz w:val="20"/>
                <w:u w:val="single"/>
              </w:rPr>
              <w:t>Schedule 7</w:t>
            </w:r>
          </w:p>
        </w:tc>
        <w:tc>
          <w:tcPr>
            <w:tcW w:w="1542" w:type="dxa"/>
          </w:tcPr>
          <w:p>
            <w:pPr>
              <w:pStyle w:val="TableParagraph"/>
              <w:spacing w:before="111"/>
              <w:ind w:left="487"/>
              <w:rPr>
                <w:sz w:val="20"/>
              </w:rPr>
            </w:pPr>
            <w:r>
              <w:rPr>
                <w:sz w:val="20"/>
                <w:u w:val="single"/>
              </w:rPr>
              <w:t>Schedule 8</w:t>
            </w:r>
          </w:p>
        </w:tc>
      </w:tr>
      <w:tr>
        <w:trPr>
          <w:trHeight w:val="345" w:hRule="atLeast"/>
        </w:trPr>
        <w:tc>
          <w:tcPr>
            <w:tcW w:w="1640" w:type="dxa"/>
          </w:tcPr>
          <w:p>
            <w:pPr>
              <w:pStyle w:val="TableParagraph"/>
              <w:spacing w:line="213" w:lineRule="exact" w:before="111"/>
              <w:ind w:left="50"/>
              <w:rPr>
                <w:sz w:val="20"/>
              </w:rPr>
            </w:pPr>
            <w:r>
              <w:rPr>
                <w:sz w:val="20"/>
              </w:rPr>
              <w:t>5/3 (R.23)</w:t>
            </w:r>
          </w:p>
        </w:tc>
        <w:tc>
          <w:tcPr>
            <w:tcW w:w="1988" w:type="dxa"/>
          </w:tcPr>
          <w:p>
            <w:pPr>
              <w:pStyle w:val="TableParagraph"/>
              <w:spacing w:line="213" w:lineRule="exact" w:before="111"/>
              <w:ind w:left="496"/>
              <w:rPr>
                <w:sz w:val="20"/>
              </w:rPr>
            </w:pPr>
            <w:r>
              <w:rPr>
                <w:sz w:val="20"/>
              </w:rPr>
              <w:t>6/3 (R.22)</w:t>
            </w:r>
          </w:p>
        </w:tc>
        <w:tc>
          <w:tcPr>
            <w:tcW w:w="1981" w:type="dxa"/>
          </w:tcPr>
          <w:p>
            <w:pPr>
              <w:pStyle w:val="TableParagraph"/>
              <w:spacing w:line="213" w:lineRule="exact" w:before="111"/>
              <w:ind w:left="489"/>
              <w:rPr>
                <w:sz w:val="20"/>
              </w:rPr>
            </w:pPr>
            <w:r>
              <w:rPr>
                <w:sz w:val="20"/>
              </w:rPr>
              <w:t>7/5 (R.3)</w:t>
            </w:r>
          </w:p>
        </w:tc>
        <w:tc>
          <w:tcPr>
            <w:tcW w:w="1542" w:type="dxa"/>
          </w:tcPr>
          <w:p>
            <w:pPr>
              <w:pStyle w:val="TableParagraph"/>
              <w:spacing w:line="213" w:lineRule="exact" w:before="111"/>
              <w:ind w:left="487"/>
              <w:rPr>
                <w:sz w:val="20"/>
              </w:rPr>
            </w:pPr>
            <w:r>
              <w:rPr>
                <w:sz w:val="20"/>
              </w:rPr>
              <w:t>8/3 (R.8)</w:t>
            </w:r>
          </w:p>
        </w:tc>
      </w:tr>
      <w:tr>
        <w:trPr>
          <w:trHeight w:val="805" w:hRule="atLeast"/>
        </w:trPr>
        <w:tc>
          <w:tcPr>
            <w:tcW w:w="1640" w:type="dxa"/>
          </w:tcPr>
          <w:p>
            <w:pPr>
              <w:pStyle w:val="TableParagraph"/>
              <w:spacing w:line="227" w:lineRule="exact"/>
              <w:ind w:left="50"/>
              <w:rPr>
                <w:sz w:val="20"/>
              </w:rPr>
            </w:pPr>
            <w:r>
              <w:rPr>
                <w:sz w:val="20"/>
              </w:rPr>
              <w:t>5/5</w:t>
            </w:r>
            <w:r>
              <w:rPr>
                <w:spacing w:val="-2"/>
                <w:sz w:val="20"/>
              </w:rPr>
              <w:t> </w:t>
            </w:r>
            <w:r>
              <w:rPr>
                <w:sz w:val="20"/>
              </w:rPr>
              <w:t>(R.6)</w:t>
            </w:r>
          </w:p>
          <w:p>
            <w:pPr>
              <w:pStyle w:val="TableParagraph"/>
              <w:ind w:left="50"/>
              <w:rPr>
                <w:sz w:val="20"/>
              </w:rPr>
            </w:pPr>
            <w:r>
              <w:rPr>
                <w:sz w:val="20"/>
              </w:rPr>
              <w:t>5/7</w:t>
            </w:r>
            <w:r>
              <w:rPr>
                <w:spacing w:val="-2"/>
                <w:sz w:val="20"/>
              </w:rPr>
              <w:t> </w:t>
            </w:r>
            <w:r>
              <w:rPr>
                <w:sz w:val="20"/>
              </w:rPr>
              <w:t>(R.4)</w:t>
            </w:r>
          </w:p>
        </w:tc>
        <w:tc>
          <w:tcPr>
            <w:tcW w:w="1988" w:type="dxa"/>
          </w:tcPr>
          <w:p>
            <w:pPr>
              <w:pStyle w:val="TableParagraph"/>
              <w:spacing w:line="227" w:lineRule="exact"/>
              <w:ind w:left="496"/>
              <w:rPr>
                <w:sz w:val="20"/>
              </w:rPr>
            </w:pPr>
            <w:r>
              <w:rPr>
                <w:sz w:val="20"/>
              </w:rPr>
              <w:t>6/5</w:t>
            </w:r>
            <w:r>
              <w:rPr>
                <w:spacing w:val="-2"/>
                <w:sz w:val="20"/>
              </w:rPr>
              <w:t> </w:t>
            </w:r>
            <w:r>
              <w:rPr>
                <w:sz w:val="20"/>
              </w:rPr>
              <w:t>(R.6)</w:t>
            </w:r>
          </w:p>
          <w:p>
            <w:pPr>
              <w:pStyle w:val="TableParagraph"/>
              <w:ind w:left="496"/>
              <w:rPr>
                <w:sz w:val="20"/>
              </w:rPr>
            </w:pPr>
            <w:r>
              <w:rPr>
                <w:sz w:val="20"/>
              </w:rPr>
              <w:t>6/9</w:t>
            </w:r>
            <w:r>
              <w:rPr>
                <w:spacing w:val="-2"/>
                <w:sz w:val="20"/>
              </w:rPr>
              <w:t> </w:t>
            </w:r>
            <w:r>
              <w:rPr>
                <w:sz w:val="20"/>
              </w:rPr>
              <w:t>(R.3)</w:t>
            </w:r>
          </w:p>
        </w:tc>
        <w:tc>
          <w:tcPr>
            <w:tcW w:w="1981" w:type="dxa"/>
          </w:tcPr>
          <w:p>
            <w:pPr>
              <w:pStyle w:val="TableParagraph"/>
              <w:spacing w:line="227" w:lineRule="exact"/>
              <w:ind w:left="488"/>
              <w:rPr>
                <w:sz w:val="20"/>
              </w:rPr>
            </w:pPr>
            <w:r>
              <w:rPr>
                <w:sz w:val="20"/>
              </w:rPr>
              <w:t>7/6A (R.1)</w:t>
            </w:r>
          </w:p>
        </w:tc>
        <w:tc>
          <w:tcPr>
            <w:tcW w:w="1542" w:type="dxa"/>
          </w:tcPr>
          <w:p>
            <w:pPr>
              <w:pStyle w:val="TableParagraph"/>
              <w:spacing w:line="227" w:lineRule="exact"/>
              <w:ind w:left="487"/>
              <w:rPr>
                <w:sz w:val="20"/>
              </w:rPr>
            </w:pPr>
            <w:r>
              <w:rPr>
                <w:sz w:val="20"/>
              </w:rPr>
              <w:t>8/5</w:t>
            </w:r>
            <w:r>
              <w:rPr>
                <w:spacing w:val="-2"/>
                <w:sz w:val="20"/>
              </w:rPr>
              <w:t> </w:t>
            </w:r>
            <w:r>
              <w:rPr>
                <w:sz w:val="20"/>
              </w:rPr>
              <w:t>(R.3)</w:t>
            </w:r>
          </w:p>
          <w:p>
            <w:pPr>
              <w:pStyle w:val="TableParagraph"/>
              <w:spacing w:line="230" w:lineRule="exact"/>
              <w:ind w:left="487"/>
              <w:rPr>
                <w:sz w:val="20"/>
              </w:rPr>
            </w:pPr>
            <w:r>
              <w:rPr>
                <w:sz w:val="20"/>
              </w:rPr>
              <w:t>8/7</w:t>
            </w:r>
            <w:r>
              <w:rPr>
                <w:spacing w:val="-2"/>
                <w:sz w:val="20"/>
              </w:rPr>
              <w:t> </w:t>
            </w:r>
            <w:r>
              <w:rPr>
                <w:sz w:val="20"/>
              </w:rPr>
              <w:t>(R.2)</w:t>
            </w:r>
          </w:p>
          <w:p>
            <w:pPr>
              <w:pStyle w:val="TableParagraph"/>
              <w:spacing w:line="230" w:lineRule="exact"/>
              <w:ind w:left="487"/>
              <w:rPr>
                <w:sz w:val="20"/>
              </w:rPr>
            </w:pPr>
            <w:r>
              <w:rPr>
                <w:sz w:val="20"/>
              </w:rPr>
              <w:t>8/8A (R.1)</w:t>
            </w:r>
          </w:p>
        </w:tc>
      </w:tr>
      <w:tr>
        <w:trPr>
          <w:trHeight w:val="387" w:hRule="atLeast"/>
        </w:trPr>
        <w:tc>
          <w:tcPr>
            <w:tcW w:w="1640" w:type="dxa"/>
          </w:tcPr>
          <w:p>
            <w:pPr>
              <w:pStyle w:val="TableParagraph"/>
              <w:spacing w:line="256" w:lineRule="exact" w:before="111"/>
              <w:ind w:left="50"/>
              <w:rPr>
                <w:b/>
                <w:sz w:val="24"/>
              </w:rPr>
            </w:pPr>
            <w:r>
              <w:rPr>
                <w:b/>
                <w:sz w:val="24"/>
              </w:rPr>
              <w:t>Enquiries</w:t>
            </w:r>
          </w:p>
        </w:tc>
        <w:tc>
          <w:tcPr>
            <w:tcW w:w="1988" w:type="dxa"/>
          </w:tcPr>
          <w:p>
            <w:pPr>
              <w:pStyle w:val="TableParagraph"/>
              <w:rPr>
                <w:rFonts w:ascii="Times New Roman"/>
                <w:sz w:val="20"/>
              </w:rPr>
            </w:pPr>
          </w:p>
        </w:tc>
        <w:tc>
          <w:tcPr>
            <w:tcW w:w="1981" w:type="dxa"/>
          </w:tcPr>
          <w:p>
            <w:pPr>
              <w:pStyle w:val="TableParagraph"/>
              <w:rPr>
                <w:rFonts w:ascii="Times New Roman"/>
                <w:sz w:val="20"/>
              </w:rPr>
            </w:pPr>
          </w:p>
        </w:tc>
        <w:tc>
          <w:tcPr>
            <w:tcW w:w="1542" w:type="dxa"/>
          </w:tcPr>
          <w:p>
            <w:pPr>
              <w:pStyle w:val="TableParagraph"/>
              <w:rPr>
                <w:rFonts w:ascii="Times New Roman"/>
                <w:sz w:val="20"/>
              </w:rPr>
            </w:pPr>
          </w:p>
        </w:tc>
      </w:tr>
    </w:tbl>
    <w:p>
      <w:pPr>
        <w:pStyle w:val="BodyText"/>
        <w:spacing w:line="460" w:lineRule="atLeast"/>
        <w:ind w:left="2241" w:right="1614" w:hanging="721"/>
      </w:pPr>
      <w:r>
        <w:rPr/>
        <w:t>For further information concerning the proposed changes to the Customs Tariff, please contact: Manager</w:t>
      </w:r>
    </w:p>
    <w:p>
      <w:pPr>
        <w:pStyle w:val="BodyText"/>
        <w:ind w:left="2241" w:right="7285"/>
      </w:pPr>
      <w:r>
        <w:rPr/>
        <w:t>Tariff Legislation Trade Services Branch Phone (02) 6275</w:t>
      </w:r>
      <w:r>
        <w:rPr>
          <w:spacing w:val="-4"/>
        </w:rPr>
        <w:t> </w:t>
      </w:r>
      <w:r>
        <w:rPr/>
        <w:t>6542</w:t>
      </w:r>
    </w:p>
    <w:p>
      <w:pPr>
        <w:pStyle w:val="BodyText"/>
      </w:pPr>
    </w:p>
    <w:p>
      <w:pPr>
        <w:pStyle w:val="BodyText"/>
        <w:spacing w:before="1"/>
        <w:ind w:left="1521" w:right="1401"/>
      </w:pPr>
      <w:r>
        <w:rPr/>
        <w:t>You can also source information on the taxation of alternative fuels at </w:t>
      </w:r>
      <w:r>
        <w:rPr>
          <w:color w:val="0000FF"/>
          <w:u w:val="single" w:color="0000FF"/>
        </w:rPr>
        <w:t>Introduction of effective fuel</w:t>
      </w:r>
      <w:r>
        <w:rPr>
          <w:color w:val="0000FF"/>
        </w:rPr>
        <w:t> </w:t>
      </w:r>
      <w:r>
        <w:rPr>
          <w:color w:val="0000FF"/>
          <w:u w:val="single" w:color="0000FF"/>
        </w:rPr>
        <w:t>tax on alternative fuels</w:t>
      </w:r>
      <w:r>
        <w:rPr>
          <w:color w:val="0000FF"/>
        </w:rPr>
        <w:t> </w:t>
      </w:r>
      <w:r>
        <w:rPr/>
        <w:t>on The Australian Taxation Office website.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521"/>
      </w:pPr>
      <w:r>
        <w:rPr/>
        <w:t>(signed)</w:t>
      </w:r>
    </w:p>
    <w:p>
      <w:pPr>
        <w:pStyle w:val="BodyText"/>
        <w:spacing w:before="11"/>
        <w:rPr>
          <w:sz w:val="19"/>
        </w:rPr>
      </w:pPr>
    </w:p>
    <w:p>
      <w:pPr>
        <w:pStyle w:val="BodyText"/>
        <w:ind w:left="1521" w:right="7994"/>
      </w:pPr>
      <w:r>
        <w:rPr/>
        <w:t>Geoff Johannes National Manager Trade Services Branch 26 October 2011</w:t>
      </w:r>
    </w:p>
    <w:p>
      <w:pPr>
        <w:spacing w:after="0"/>
        <w:sectPr>
          <w:pgSz w:w="11910" w:h="16840"/>
          <w:pgMar w:top="1060" w:bottom="280" w:left="180" w:right="160"/>
        </w:sectPr>
      </w:pPr>
    </w:p>
    <w:p>
      <w:pPr>
        <w:pStyle w:val="BodyText"/>
        <w:spacing w:before="81"/>
        <w:ind w:right="1121"/>
        <w:jc w:val="right"/>
      </w:pPr>
      <w:r>
        <w:rPr>
          <w:u w:val="single"/>
        </w:rPr>
        <w:t>Attachment A</w:t>
      </w:r>
    </w:p>
    <w:p>
      <w:pPr>
        <w:pStyle w:val="BodyText"/>
        <w:spacing w:before="11"/>
        <w:rPr>
          <w:sz w:val="11"/>
        </w:rPr>
      </w:pPr>
    </w:p>
    <w:p>
      <w:pPr>
        <w:spacing w:before="94"/>
        <w:ind w:left="1521" w:right="0" w:firstLine="0"/>
        <w:jc w:val="left"/>
        <w:rPr>
          <w:b/>
          <w:sz w:val="20"/>
        </w:rPr>
      </w:pPr>
      <w:r>
        <w:rPr>
          <w:b/>
          <w:sz w:val="20"/>
          <w:u w:val="thick"/>
        </w:rPr>
        <w:t>Gaseous fuels (LPG, LNG and CNG) and gasoline and diesel</w:t>
      </w:r>
    </w:p>
    <w:p>
      <w:pPr>
        <w:pStyle w:val="BodyText"/>
        <w:spacing w:before="9"/>
        <w:rPr>
          <w:b/>
          <w:sz w:val="11"/>
        </w:rPr>
      </w:pPr>
    </w:p>
    <w:p>
      <w:pPr>
        <w:spacing w:before="94"/>
        <w:ind w:left="1521" w:right="0" w:firstLine="0"/>
        <w:jc w:val="left"/>
        <w:rPr>
          <w:b/>
          <w:sz w:val="20"/>
        </w:rPr>
      </w:pPr>
      <w:r>
        <w:rPr>
          <w:b/>
          <w:sz w:val="20"/>
          <w:u w:val="thick"/>
        </w:rPr>
        <w:t>Concordance of tariff subheadings pre-1 December 2011 – post-1 December 2011</w:t>
      </w:r>
    </w:p>
    <w:p>
      <w:pPr>
        <w:pStyle w:val="BodyText"/>
        <w:rPr>
          <w:b/>
        </w:rPr>
      </w:pPr>
    </w:p>
    <w:p>
      <w:pPr>
        <w:pStyle w:val="BodyText"/>
        <w:spacing w:before="1"/>
        <w:rPr>
          <w:b/>
        </w:rPr>
      </w:pPr>
    </w:p>
    <w:tbl>
      <w:tblPr>
        <w:tblW w:w="0" w:type="auto"/>
        <w:jc w:val="left"/>
        <w:tblInd w:w="1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0"/>
        <w:gridCol w:w="1881"/>
        <w:gridCol w:w="961"/>
        <w:gridCol w:w="1701"/>
        <w:gridCol w:w="1798"/>
      </w:tblGrid>
      <w:tr>
        <w:trPr>
          <w:trHeight w:val="224" w:hRule="atLeast"/>
        </w:trPr>
        <w:tc>
          <w:tcPr>
            <w:tcW w:w="1600" w:type="dxa"/>
            <w:tcBorders>
              <w:bottom w:val="nil"/>
              <w:right w:val="single" w:sz="6" w:space="0" w:color="000000"/>
            </w:tcBorders>
          </w:tcPr>
          <w:p>
            <w:pPr>
              <w:pStyle w:val="TableParagraph"/>
              <w:spacing w:line="205" w:lineRule="exact"/>
              <w:ind w:left="211" w:right="201"/>
              <w:jc w:val="center"/>
              <w:rPr>
                <w:b/>
                <w:sz w:val="20"/>
              </w:rPr>
            </w:pPr>
            <w:r>
              <w:rPr>
                <w:b/>
                <w:sz w:val="20"/>
              </w:rPr>
              <w:t>Proposed</w:t>
            </w:r>
          </w:p>
        </w:tc>
        <w:tc>
          <w:tcPr>
            <w:tcW w:w="1881" w:type="dxa"/>
            <w:tcBorders>
              <w:left w:val="single" w:sz="6" w:space="0" w:color="000000"/>
              <w:bottom w:val="nil"/>
              <w:right w:val="single" w:sz="6" w:space="0" w:color="000000"/>
            </w:tcBorders>
          </w:tcPr>
          <w:p>
            <w:pPr>
              <w:pStyle w:val="TableParagraph"/>
              <w:spacing w:line="205" w:lineRule="exact"/>
              <w:ind w:left="99" w:right="92"/>
              <w:jc w:val="center"/>
              <w:rPr>
                <w:b/>
                <w:sz w:val="20"/>
              </w:rPr>
            </w:pPr>
            <w:r>
              <w:rPr>
                <w:b/>
                <w:sz w:val="20"/>
              </w:rPr>
              <w:t>Present</w:t>
            </w:r>
          </w:p>
        </w:tc>
        <w:tc>
          <w:tcPr>
            <w:tcW w:w="961" w:type="dxa"/>
            <w:vMerge w:val="restart"/>
            <w:tcBorders>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left w:val="single" w:sz="6" w:space="0" w:color="000000"/>
              <w:bottom w:val="nil"/>
              <w:right w:val="single" w:sz="6" w:space="0" w:color="000000"/>
            </w:tcBorders>
          </w:tcPr>
          <w:p>
            <w:pPr>
              <w:pStyle w:val="TableParagraph"/>
              <w:spacing w:line="205" w:lineRule="exact"/>
              <w:ind w:left="145" w:right="142"/>
              <w:jc w:val="center"/>
              <w:rPr>
                <w:b/>
                <w:sz w:val="20"/>
              </w:rPr>
            </w:pPr>
            <w:r>
              <w:rPr>
                <w:b/>
                <w:sz w:val="20"/>
              </w:rPr>
              <w:t>Present</w:t>
            </w:r>
          </w:p>
        </w:tc>
        <w:tc>
          <w:tcPr>
            <w:tcW w:w="1798" w:type="dxa"/>
            <w:tcBorders>
              <w:left w:val="single" w:sz="6" w:space="0" w:color="000000"/>
              <w:bottom w:val="nil"/>
            </w:tcBorders>
          </w:tcPr>
          <w:p>
            <w:pPr>
              <w:pStyle w:val="TableParagraph"/>
              <w:spacing w:line="205" w:lineRule="exact"/>
              <w:ind w:left="155" w:right="155"/>
              <w:jc w:val="center"/>
              <w:rPr>
                <w:b/>
                <w:sz w:val="20"/>
              </w:rPr>
            </w:pPr>
            <w:r>
              <w:rPr>
                <w:b/>
                <w:sz w:val="20"/>
              </w:rPr>
              <w:t>Proposed</w:t>
            </w:r>
          </w:p>
        </w:tc>
      </w:tr>
      <w:tr>
        <w:trPr>
          <w:trHeight w:val="215" w:hRule="atLeast"/>
        </w:trPr>
        <w:tc>
          <w:tcPr>
            <w:tcW w:w="1600" w:type="dxa"/>
            <w:tcBorders>
              <w:top w:val="nil"/>
              <w:bottom w:val="nil"/>
              <w:right w:val="single" w:sz="6" w:space="0" w:color="000000"/>
            </w:tcBorders>
          </w:tcPr>
          <w:p>
            <w:pPr>
              <w:pStyle w:val="TableParagraph"/>
              <w:spacing w:line="195" w:lineRule="exact"/>
              <w:ind w:left="211" w:right="200"/>
              <w:jc w:val="center"/>
              <w:rPr>
                <w:b/>
                <w:sz w:val="20"/>
              </w:rPr>
            </w:pPr>
            <w:r>
              <w:rPr>
                <w:b/>
                <w:sz w:val="20"/>
              </w:rPr>
              <w:t>From</w:t>
            </w:r>
          </w:p>
        </w:tc>
        <w:tc>
          <w:tcPr>
            <w:tcW w:w="1881" w:type="dxa"/>
            <w:tcBorders>
              <w:top w:val="nil"/>
              <w:left w:val="single" w:sz="6" w:space="0" w:color="000000"/>
              <w:bottom w:val="nil"/>
              <w:right w:val="single" w:sz="6" w:space="0" w:color="000000"/>
            </w:tcBorders>
          </w:tcPr>
          <w:p>
            <w:pPr>
              <w:pStyle w:val="TableParagraph"/>
              <w:spacing w:line="195" w:lineRule="exact"/>
              <w:ind w:left="99" w:right="91"/>
              <w:jc w:val="center"/>
              <w:rPr>
                <w:b/>
                <w:sz w:val="20"/>
              </w:rPr>
            </w:pPr>
            <w:r>
              <w:rPr>
                <w:b/>
                <w:sz w:val="20"/>
              </w:rPr>
              <w:t>Pre-December</w:t>
            </w:r>
          </w:p>
        </w:tc>
        <w:tc>
          <w:tcPr>
            <w:tcW w:w="961" w:type="dxa"/>
            <w:vMerge/>
            <w:tcBorders>
              <w:top w:val="nil"/>
              <w:left w:val="single" w:sz="6" w:space="0" w:color="000000"/>
              <w:bottom w:val="single" w:sz="6" w:space="0" w:color="000000"/>
              <w:right w:val="single" w:sz="6" w:space="0" w:color="000000"/>
            </w:tcBorders>
          </w:tcPr>
          <w:p>
            <w:pPr>
              <w:rPr>
                <w:sz w:val="2"/>
                <w:szCs w:val="2"/>
              </w:rPr>
            </w:pPr>
          </w:p>
        </w:tc>
        <w:tc>
          <w:tcPr>
            <w:tcW w:w="1701" w:type="dxa"/>
            <w:tcBorders>
              <w:top w:val="nil"/>
              <w:left w:val="single" w:sz="6" w:space="0" w:color="000000"/>
              <w:bottom w:val="nil"/>
              <w:right w:val="single" w:sz="6" w:space="0" w:color="000000"/>
            </w:tcBorders>
          </w:tcPr>
          <w:p>
            <w:pPr>
              <w:pStyle w:val="TableParagraph"/>
              <w:spacing w:line="195" w:lineRule="exact"/>
              <w:ind w:left="146" w:right="142"/>
              <w:jc w:val="center"/>
              <w:rPr>
                <w:b/>
                <w:sz w:val="20"/>
              </w:rPr>
            </w:pPr>
            <w:r>
              <w:rPr>
                <w:b/>
                <w:sz w:val="20"/>
              </w:rPr>
              <w:t>Pre-December</w:t>
            </w:r>
          </w:p>
        </w:tc>
        <w:tc>
          <w:tcPr>
            <w:tcW w:w="1798" w:type="dxa"/>
            <w:tcBorders>
              <w:top w:val="nil"/>
              <w:left w:val="single" w:sz="6" w:space="0" w:color="000000"/>
              <w:bottom w:val="nil"/>
            </w:tcBorders>
          </w:tcPr>
          <w:p>
            <w:pPr>
              <w:pStyle w:val="TableParagraph"/>
              <w:spacing w:line="195" w:lineRule="exact"/>
              <w:ind w:left="155" w:right="155"/>
              <w:jc w:val="center"/>
              <w:rPr>
                <w:b/>
                <w:sz w:val="20"/>
              </w:rPr>
            </w:pPr>
            <w:r>
              <w:rPr>
                <w:b/>
                <w:sz w:val="20"/>
              </w:rPr>
              <w:t>From</w:t>
            </w:r>
          </w:p>
        </w:tc>
      </w:tr>
      <w:tr>
        <w:trPr>
          <w:trHeight w:val="214" w:hRule="atLeast"/>
        </w:trPr>
        <w:tc>
          <w:tcPr>
            <w:tcW w:w="1600" w:type="dxa"/>
            <w:tcBorders>
              <w:top w:val="nil"/>
              <w:bottom w:val="nil"/>
              <w:right w:val="single" w:sz="6" w:space="0" w:color="000000"/>
            </w:tcBorders>
          </w:tcPr>
          <w:p>
            <w:pPr>
              <w:pStyle w:val="TableParagraph"/>
              <w:spacing w:line="195" w:lineRule="exact"/>
              <w:ind w:left="211" w:right="201"/>
              <w:jc w:val="center"/>
              <w:rPr>
                <w:b/>
                <w:sz w:val="20"/>
              </w:rPr>
            </w:pPr>
            <w:r>
              <w:rPr>
                <w:b/>
                <w:sz w:val="20"/>
              </w:rPr>
              <w:t>1 December</w:t>
            </w:r>
          </w:p>
        </w:tc>
        <w:tc>
          <w:tcPr>
            <w:tcW w:w="1881" w:type="dxa"/>
            <w:tcBorders>
              <w:top w:val="nil"/>
              <w:left w:val="single" w:sz="6" w:space="0" w:color="000000"/>
              <w:bottom w:val="nil"/>
              <w:right w:val="single" w:sz="6" w:space="0" w:color="000000"/>
            </w:tcBorders>
          </w:tcPr>
          <w:p>
            <w:pPr>
              <w:pStyle w:val="TableParagraph"/>
              <w:spacing w:line="195" w:lineRule="exact"/>
              <w:ind w:left="98" w:right="92"/>
              <w:jc w:val="center"/>
              <w:rPr>
                <w:b/>
                <w:sz w:val="20"/>
              </w:rPr>
            </w:pPr>
            <w:r>
              <w:rPr>
                <w:b/>
                <w:sz w:val="20"/>
              </w:rPr>
              <w:t>2011</w:t>
            </w:r>
          </w:p>
        </w:tc>
        <w:tc>
          <w:tcPr>
            <w:tcW w:w="961" w:type="dxa"/>
            <w:vMerge/>
            <w:tcBorders>
              <w:top w:val="nil"/>
              <w:left w:val="single" w:sz="6" w:space="0" w:color="000000"/>
              <w:bottom w:val="single" w:sz="6" w:space="0" w:color="000000"/>
              <w:right w:val="single" w:sz="6" w:space="0" w:color="000000"/>
            </w:tcBorders>
          </w:tcPr>
          <w:p>
            <w:pPr>
              <w:rPr>
                <w:sz w:val="2"/>
                <w:szCs w:val="2"/>
              </w:rPr>
            </w:pPr>
          </w:p>
        </w:tc>
        <w:tc>
          <w:tcPr>
            <w:tcW w:w="1701" w:type="dxa"/>
            <w:tcBorders>
              <w:top w:val="nil"/>
              <w:left w:val="single" w:sz="6" w:space="0" w:color="000000"/>
              <w:bottom w:val="nil"/>
              <w:right w:val="single" w:sz="6" w:space="0" w:color="000000"/>
            </w:tcBorders>
          </w:tcPr>
          <w:p>
            <w:pPr>
              <w:pStyle w:val="TableParagraph"/>
              <w:spacing w:line="195" w:lineRule="exact"/>
              <w:ind w:left="145" w:right="142"/>
              <w:jc w:val="center"/>
              <w:rPr>
                <w:b/>
                <w:sz w:val="20"/>
              </w:rPr>
            </w:pPr>
            <w:r>
              <w:rPr>
                <w:b/>
                <w:sz w:val="20"/>
              </w:rPr>
              <w:t>2011</w:t>
            </w:r>
          </w:p>
        </w:tc>
        <w:tc>
          <w:tcPr>
            <w:tcW w:w="1798" w:type="dxa"/>
            <w:tcBorders>
              <w:top w:val="nil"/>
              <w:left w:val="single" w:sz="6" w:space="0" w:color="000000"/>
              <w:bottom w:val="nil"/>
            </w:tcBorders>
          </w:tcPr>
          <w:p>
            <w:pPr>
              <w:pStyle w:val="TableParagraph"/>
              <w:spacing w:line="195" w:lineRule="exact"/>
              <w:ind w:left="155" w:right="155"/>
              <w:jc w:val="center"/>
              <w:rPr>
                <w:b/>
                <w:sz w:val="20"/>
              </w:rPr>
            </w:pPr>
            <w:r>
              <w:rPr>
                <w:b/>
                <w:sz w:val="20"/>
              </w:rPr>
              <w:t>1 December</w:t>
            </w:r>
          </w:p>
        </w:tc>
      </w:tr>
      <w:tr>
        <w:trPr>
          <w:trHeight w:val="220" w:hRule="atLeast"/>
        </w:trPr>
        <w:tc>
          <w:tcPr>
            <w:tcW w:w="1600" w:type="dxa"/>
            <w:tcBorders>
              <w:top w:val="nil"/>
              <w:bottom w:val="single" w:sz="6" w:space="0" w:color="000000"/>
              <w:right w:val="single" w:sz="6" w:space="0" w:color="000000"/>
            </w:tcBorders>
          </w:tcPr>
          <w:p>
            <w:pPr>
              <w:pStyle w:val="TableParagraph"/>
              <w:spacing w:line="200" w:lineRule="exact"/>
              <w:ind w:left="211" w:right="201"/>
              <w:jc w:val="center"/>
              <w:rPr>
                <w:b/>
                <w:sz w:val="20"/>
              </w:rPr>
            </w:pPr>
            <w:r>
              <w:rPr>
                <w:b/>
                <w:sz w:val="20"/>
              </w:rPr>
              <w:t>2011</w:t>
            </w:r>
          </w:p>
        </w:tc>
        <w:tc>
          <w:tcPr>
            <w:tcW w:w="1881" w:type="dxa"/>
            <w:tcBorders>
              <w:top w:val="nil"/>
              <w:left w:val="single" w:sz="6" w:space="0" w:color="000000"/>
              <w:bottom w:val="single" w:sz="6" w:space="0" w:color="000000"/>
              <w:right w:val="single" w:sz="6" w:space="0" w:color="000000"/>
            </w:tcBorders>
          </w:tcPr>
          <w:p>
            <w:pPr>
              <w:pStyle w:val="TableParagraph"/>
              <w:rPr>
                <w:rFonts w:ascii="Times New Roman"/>
                <w:sz w:val="14"/>
              </w:rPr>
            </w:pPr>
          </w:p>
        </w:tc>
        <w:tc>
          <w:tcPr>
            <w:tcW w:w="961" w:type="dxa"/>
            <w:vMerge/>
            <w:tcBorders>
              <w:top w:val="nil"/>
              <w:left w:val="single" w:sz="6" w:space="0" w:color="000000"/>
              <w:bottom w:val="single" w:sz="6" w:space="0" w:color="000000"/>
              <w:right w:val="single" w:sz="6" w:space="0" w:color="000000"/>
            </w:tcBorders>
          </w:tcPr>
          <w:p>
            <w:pPr>
              <w:rPr>
                <w:sz w:val="2"/>
                <w:szCs w:val="2"/>
              </w:rPr>
            </w:pPr>
          </w:p>
        </w:tc>
        <w:tc>
          <w:tcPr>
            <w:tcW w:w="1701" w:type="dxa"/>
            <w:tcBorders>
              <w:top w:val="nil"/>
              <w:left w:val="single" w:sz="6" w:space="0" w:color="000000"/>
              <w:bottom w:val="single" w:sz="6" w:space="0" w:color="000000"/>
              <w:right w:val="single" w:sz="6" w:space="0" w:color="000000"/>
            </w:tcBorders>
          </w:tcPr>
          <w:p>
            <w:pPr>
              <w:pStyle w:val="TableParagraph"/>
              <w:rPr>
                <w:rFonts w:ascii="Times New Roman"/>
                <w:sz w:val="14"/>
              </w:rPr>
            </w:pPr>
          </w:p>
        </w:tc>
        <w:tc>
          <w:tcPr>
            <w:tcW w:w="1798" w:type="dxa"/>
            <w:tcBorders>
              <w:top w:val="nil"/>
              <w:left w:val="single" w:sz="6" w:space="0" w:color="000000"/>
              <w:bottom w:val="single" w:sz="6" w:space="0" w:color="000000"/>
            </w:tcBorders>
          </w:tcPr>
          <w:p>
            <w:pPr>
              <w:pStyle w:val="TableParagraph"/>
              <w:spacing w:line="200" w:lineRule="exact"/>
              <w:ind w:left="156" w:right="155"/>
              <w:jc w:val="center"/>
              <w:rPr>
                <w:b/>
                <w:sz w:val="20"/>
              </w:rPr>
            </w:pPr>
            <w:r>
              <w:rPr>
                <w:b/>
                <w:sz w:val="20"/>
              </w:rPr>
              <w:t>2011</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rPr>
                <w:rFonts w:ascii="Times New Roman"/>
                <w:sz w:val="20"/>
              </w:rPr>
            </w:pPr>
          </w:p>
        </w:tc>
        <w:tc>
          <w:tcPr>
            <w:tcW w:w="18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2710.11.62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2710.11.69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146" w:right="141"/>
              <w:jc w:val="center"/>
              <w:rPr>
                <w:sz w:val="20"/>
              </w:rPr>
            </w:pPr>
            <w:r>
              <w:rPr>
                <w:sz w:val="20"/>
              </w:rPr>
              <w:t>2710.11.69</w:t>
            </w: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2710.11.62</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2710.11.69</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2710.11.69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2710.11.69</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2710.19.22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2710.19.20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2710.19.20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2710.19.22</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2710.19.28</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2710.19.20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2710.19.28</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2710.91.22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2710.91.20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2710.91.20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2710.91.22</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2710.91.28</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2710.91.20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2710.91.28</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2710.91.62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2710.91.69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146" w:right="141"/>
              <w:jc w:val="center"/>
              <w:rPr>
                <w:sz w:val="20"/>
              </w:rPr>
            </w:pPr>
            <w:r>
              <w:rPr>
                <w:sz w:val="20"/>
              </w:rPr>
              <w:t>2710.91.69</w:t>
            </w: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2710.91.62</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2710.91.69</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2710.91.69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2710.91.69</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2710.99.22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2710.99.20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2710.99.20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2710.99.22</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2710.99.28</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2710.99.20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2710.99.28</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2710.99.62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2710.99.69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2710.99.69</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2710.99.62</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2710.99.69</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2710.99.69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2710.99.69</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2711.12.10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2711.12.00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146" w:right="141"/>
              <w:jc w:val="center"/>
              <w:rPr>
                <w:sz w:val="20"/>
              </w:rPr>
            </w:pPr>
            <w:r>
              <w:rPr>
                <w:sz w:val="20"/>
              </w:rPr>
              <w:t>2711.12.00</w:t>
            </w: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2711.12.10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2711.12.90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2711.12.00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2711.12.90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2711.13.10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2711.13.00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2711.13.00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2711.13.10</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2711.13.90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2711.13.00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2711.13.90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2711.21.10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2711.21.00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2711.21.00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2711.21.10</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2711.21.90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2711.21.00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2711.21.90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3824.90.50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3824.90.90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146" w:right="141"/>
              <w:jc w:val="center"/>
              <w:rPr>
                <w:sz w:val="20"/>
              </w:rPr>
            </w:pPr>
            <w:r>
              <w:rPr>
                <w:sz w:val="20"/>
              </w:rPr>
              <w:t>3824.90.90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3824.90.50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3824.90.60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3824.90.90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3824.90.60</w:t>
            </w:r>
          </w:p>
        </w:tc>
      </w:tr>
      <w:tr>
        <w:trPr>
          <w:trHeight w:val="397" w:hRule="atLeast"/>
        </w:trPr>
        <w:tc>
          <w:tcPr>
            <w:tcW w:w="1600" w:type="dxa"/>
            <w:tcBorders>
              <w:top w:val="single" w:sz="6" w:space="0" w:color="000000"/>
              <w:right w:val="single" w:sz="6" w:space="0" w:color="000000"/>
            </w:tcBorders>
          </w:tcPr>
          <w:p>
            <w:pPr>
              <w:pStyle w:val="TableParagraph"/>
              <w:spacing w:line="213" w:lineRule="exact" w:before="165"/>
              <w:ind w:left="211" w:right="200"/>
              <w:jc w:val="center"/>
              <w:rPr>
                <w:sz w:val="20"/>
              </w:rPr>
            </w:pPr>
            <w:r>
              <w:rPr>
                <w:sz w:val="20"/>
              </w:rPr>
              <w:t>3824.90.90</w:t>
            </w:r>
          </w:p>
        </w:tc>
        <w:tc>
          <w:tcPr>
            <w:tcW w:w="1881" w:type="dxa"/>
            <w:tcBorders>
              <w:top w:val="single" w:sz="6" w:space="0" w:color="000000"/>
              <w:left w:val="single" w:sz="6" w:space="0" w:color="000000"/>
              <w:right w:val="single" w:sz="6" w:space="0" w:color="000000"/>
            </w:tcBorders>
          </w:tcPr>
          <w:p>
            <w:pPr>
              <w:pStyle w:val="TableParagraph"/>
              <w:spacing w:line="213" w:lineRule="exact" w:before="165"/>
              <w:ind w:left="99" w:right="91"/>
              <w:jc w:val="center"/>
              <w:rPr>
                <w:sz w:val="20"/>
              </w:rPr>
            </w:pPr>
            <w:r>
              <w:rPr>
                <w:sz w:val="20"/>
              </w:rPr>
              <w:t>3824.90.90</w:t>
            </w:r>
          </w:p>
        </w:tc>
        <w:tc>
          <w:tcPr>
            <w:tcW w:w="96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tcBorders>
          </w:tcPr>
          <w:p>
            <w:pPr>
              <w:pStyle w:val="TableParagraph"/>
              <w:spacing w:line="213" w:lineRule="exact" w:before="165"/>
              <w:ind w:left="155" w:right="155"/>
              <w:jc w:val="center"/>
              <w:rPr>
                <w:sz w:val="20"/>
              </w:rPr>
            </w:pPr>
            <w:r>
              <w:rPr>
                <w:sz w:val="20"/>
              </w:rPr>
              <w:t>3824.90.90</w:t>
            </w:r>
          </w:p>
        </w:tc>
      </w:tr>
    </w:tbl>
    <w:p>
      <w:pPr>
        <w:spacing w:after="0" w:line="213" w:lineRule="exact"/>
        <w:jc w:val="center"/>
        <w:rPr>
          <w:sz w:val="20"/>
        </w:rPr>
        <w:sectPr>
          <w:pgSz w:w="11910" w:h="16840"/>
          <w:pgMar w:top="1280" w:bottom="280" w:left="180" w:right="160"/>
        </w:sectPr>
      </w:pPr>
    </w:p>
    <w:p>
      <w:pPr>
        <w:pStyle w:val="BodyText"/>
        <w:spacing w:before="71"/>
        <w:ind w:right="1121"/>
        <w:jc w:val="right"/>
      </w:pPr>
      <w:r>
        <w:rPr>
          <w:u w:val="single"/>
        </w:rPr>
        <w:t>Attachment B</w:t>
      </w:r>
    </w:p>
    <w:p>
      <w:pPr>
        <w:pStyle w:val="BodyText"/>
        <w:spacing w:before="10"/>
        <w:rPr>
          <w:sz w:val="11"/>
        </w:rPr>
      </w:pPr>
    </w:p>
    <w:p>
      <w:pPr>
        <w:spacing w:before="94"/>
        <w:ind w:left="1521" w:right="0" w:firstLine="0"/>
        <w:jc w:val="left"/>
        <w:rPr>
          <w:b/>
          <w:sz w:val="20"/>
        </w:rPr>
      </w:pPr>
      <w:r>
        <w:rPr>
          <w:b/>
          <w:sz w:val="20"/>
          <w:u w:val="thick"/>
        </w:rPr>
        <w:t>Light oils and biodiesel</w:t>
      </w:r>
    </w:p>
    <w:p>
      <w:pPr>
        <w:pStyle w:val="BodyText"/>
        <w:spacing w:before="11"/>
        <w:rPr>
          <w:b/>
          <w:sz w:val="11"/>
        </w:rPr>
      </w:pPr>
    </w:p>
    <w:p>
      <w:pPr>
        <w:spacing w:before="94"/>
        <w:ind w:left="1521" w:right="0" w:firstLine="0"/>
        <w:jc w:val="left"/>
        <w:rPr>
          <w:b/>
          <w:sz w:val="20"/>
        </w:rPr>
      </w:pPr>
      <w:r>
        <w:rPr>
          <w:b/>
          <w:sz w:val="20"/>
          <w:u w:val="thick"/>
        </w:rPr>
        <w:t>Concordance of tariff subheadings December 2011 – January 2012</w:t>
      </w:r>
    </w:p>
    <w:p>
      <w:pPr>
        <w:pStyle w:val="BodyText"/>
        <w:spacing w:before="1"/>
        <w:rPr>
          <w:b/>
        </w:rPr>
      </w:pPr>
    </w:p>
    <w:tbl>
      <w:tblPr>
        <w:tblW w:w="0" w:type="auto"/>
        <w:jc w:val="left"/>
        <w:tblInd w:w="1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0"/>
        <w:gridCol w:w="1881"/>
        <w:gridCol w:w="961"/>
        <w:gridCol w:w="1701"/>
        <w:gridCol w:w="1798"/>
      </w:tblGrid>
      <w:tr>
        <w:trPr>
          <w:trHeight w:val="689" w:hRule="atLeast"/>
        </w:trPr>
        <w:tc>
          <w:tcPr>
            <w:tcW w:w="1600" w:type="dxa"/>
            <w:tcBorders>
              <w:bottom w:val="single" w:sz="6" w:space="0" w:color="000000"/>
              <w:right w:val="single" w:sz="6" w:space="0" w:color="000000"/>
            </w:tcBorders>
          </w:tcPr>
          <w:p>
            <w:pPr>
              <w:pStyle w:val="TableParagraph"/>
              <w:spacing w:line="228" w:lineRule="exact"/>
              <w:ind w:left="210" w:right="201"/>
              <w:jc w:val="center"/>
              <w:rPr>
                <w:b/>
                <w:sz w:val="20"/>
              </w:rPr>
            </w:pPr>
            <w:r>
              <w:rPr>
                <w:b/>
                <w:sz w:val="20"/>
              </w:rPr>
              <w:t>Post</w:t>
            </w:r>
          </w:p>
          <w:p>
            <w:pPr>
              <w:pStyle w:val="TableParagraph"/>
              <w:spacing w:line="230" w:lineRule="exact"/>
              <w:ind w:left="211" w:right="199"/>
              <w:jc w:val="center"/>
              <w:rPr>
                <w:b/>
                <w:sz w:val="20"/>
              </w:rPr>
            </w:pPr>
            <w:r>
              <w:rPr>
                <w:b/>
                <w:sz w:val="20"/>
              </w:rPr>
              <w:t>1 January</w:t>
            </w:r>
          </w:p>
          <w:p>
            <w:pPr>
              <w:pStyle w:val="TableParagraph"/>
              <w:spacing w:line="211" w:lineRule="exact"/>
              <w:ind w:left="211" w:right="201"/>
              <w:jc w:val="center"/>
              <w:rPr>
                <w:b/>
                <w:sz w:val="20"/>
              </w:rPr>
            </w:pPr>
            <w:r>
              <w:rPr>
                <w:b/>
                <w:sz w:val="20"/>
              </w:rPr>
              <w:t>2012</w:t>
            </w:r>
          </w:p>
        </w:tc>
        <w:tc>
          <w:tcPr>
            <w:tcW w:w="1881" w:type="dxa"/>
            <w:tcBorders>
              <w:left w:val="single" w:sz="6" w:space="0" w:color="000000"/>
              <w:bottom w:val="single" w:sz="6" w:space="0" w:color="000000"/>
              <w:right w:val="single" w:sz="6" w:space="0" w:color="000000"/>
            </w:tcBorders>
          </w:tcPr>
          <w:p>
            <w:pPr>
              <w:pStyle w:val="TableParagraph"/>
              <w:spacing w:line="229" w:lineRule="exact"/>
              <w:ind w:left="98" w:right="92"/>
              <w:jc w:val="center"/>
              <w:rPr>
                <w:b/>
                <w:sz w:val="20"/>
              </w:rPr>
            </w:pPr>
            <w:r>
              <w:rPr>
                <w:b/>
                <w:sz w:val="20"/>
              </w:rPr>
              <w:t>Post</w:t>
            </w:r>
          </w:p>
          <w:p>
            <w:pPr>
              <w:pStyle w:val="TableParagraph"/>
              <w:ind w:left="99" w:right="92"/>
              <w:jc w:val="center"/>
              <w:rPr>
                <w:b/>
                <w:sz w:val="20"/>
              </w:rPr>
            </w:pPr>
            <w:r>
              <w:rPr>
                <w:b/>
                <w:sz w:val="20"/>
              </w:rPr>
              <w:t>1 December 2011</w:t>
            </w:r>
          </w:p>
        </w:tc>
        <w:tc>
          <w:tcPr>
            <w:tcW w:w="961"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left w:val="single" w:sz="6" w:space="0" w:color="000000"/>
              <w:bottom w:val="single" w:sz="6" w:space="0" w:color="000000"/>
              <w:right w:val="single" w:sz="6" w:space="0" w:color="000000"/>
            </w:tcBorders>
          </w:tcPr>
          <w:p>
            <w:pPr>
              <w:pStyle w:val="TableParagraph"/>
              <w:spacing w:line="229" w:lineRule="exact"/>
              <w:ind w:left="145" w:right="142"/>
              <w:jc w:val="center"/>
              <w:rPr>
                <w:b/>
                <w:sz w:val="20"/>
              </w:rPr>
            </w:pPr>
            <w:r>
              <w:rPr>
                <w:b/>
                <w:sz w:val="20"/>
              </w:rPr>
              <w:t>Post</w:t>
            </w:r>
          </w:p>
          <w:p>
            <w:pPr>
              <w:pStyle w:val="TableParagraph"/>
              <w:spacing w:line="230" w:lineRule="exact"/>
              <w:ind w:left="145" w:right="142"/>
              <w:jc w:val="center"/>
              <w:rPr>
                <w:b/>
                <w:sz w:val="20"/>
              </w:rPr>
            </w:pPr>
            <w:r>
              <w:rPr>
                <w:b/>
                <w:sz w:val="20"/>
              </w:rPr>
              <w:t>1 December</w:t>
            </w:r>
          </w:p>
          <w:p>
            <w:pPr>
              <w:pStyle w:val="TableParagraph"/>
              <w:spacing w:line="211" w:lineRule="exact"/>
              <w:ind w:left="145" w:right="142"/>
              <w:jc w:val="center"/>
              <w:rPr>
                <w:b/>
                <w:sz w:val="20"/>
              </w:rPr>
            </w:pPr>
            <w:r>
              <w:rPr>
                <w:b/>
                <w:sz w:val="20"/>
              </w:rPr>
              <w:t>2011</w:t>
            </w:r>
          </w:p>
        </w:tc>
        <w:tc>
          <w:tcPr>
            <w:tcW w:w="1798" w:type="dxa"/>
            <w:tcBorders>
              <w:left w:val="single" w:sz="6" w:space="0" w:color="000000"/>
              <w:bottom w:val="single" w:sz="6" w:space="0" w:color="000000"/>
            </w:tcBorders>
          </w:tcPr>
          <w:p>
            <w:pPr>
              <w:pStyle w:val="TableParagraph"/>
              <w:spacing w:line="229" w:lineRule="exact"/>
              <w:ind w:left="156" w:right="155"/>
              <w:jc w:val="center"/>
              <w:rPr>
                <w:b/>
                <w:sz w:val="20"/>
              </w:rPr>
            </w:pPr>
            <w:r>
              <w:rPr>
                <w:b/>
                <w:sz w:val="20"/>
              </w:rPr>
              <w:t>Post</w:t>
            </w:r>
          </w:p>
          <w:p>
            <w:pPr>
              <w:pStyle w:val="TableParagraph"/>
              <w:ind w:left="156" w:right="155"/>
              <w:jc w:val="center"/>
              <w:rPr>
                <w:b/>
                <w:sz w:val="20"/>
              </w:rPr>
            </w:pPr>
            <w:r>
              <w:rPr>
                <w:b/>
                <w:sz w:val="20"/>
              </w:rPr>
              <w:t>1 January 2012</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rPr>
                <w:rFonts w:ascii="Times New Roman"/>
                <w:sz w:val="20"/>
              </w:rPr>
            </w:pPr>
          </w:p>
        </w:tc>
        <w:tc>
          <w:tcPr>
            <w:tcW w:w="188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98"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2710.12.62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2710.11.62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344"/>
              <w:rPr>
                <w:sz w:val="20"/>
              </w:rPr>
            </w:pPr>
            <w:r>
              <w:rPr>
                <w:sz w:val="20"/>
              </w:rPr>
              <w:t>2710.11.62</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2710.12.62</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2710.12.69</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2710.11.69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344"/>
              <w:rPr>
                <w:sz w:val="20"/>
              </w:rPr>
            </w:pPr>
            <w:r>
              <w:rPr>
                <w:sz w:val="20"/>
              </w:rPr>
              <w:t>2710.11.69</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2710.12.69</w:t>
            </w:r>
          </w:p>
        </w:tc>
      </w:tr>
      <w:tr>
        <w:trPr>
          <w:trHeight w:val="397" w:hRule="atLeast"/>
        </w:trPr>
        <w:tc>
          <w:tcPr>
            <w:tcW w:w="1600" w:type="dxa"/>
            <w:tcBorders>
              <w:top w:val="single" w:sz="6" w:space="0" w:color="000000"/>
              <w:bottom w:val="single" w:sz="6" w:space="0" w:color="000000"/>
              <w:right w:val="single" w:sz="6" w:space="0" w:color="000000"/>
            </w:tcBorders>
          </w:tcPr>
          <w:p>
            <w:pPr>
              <w:pStyle w:val="TableParagraph"/>
              <w:spacing w:line="213" w:lineRule="exact" w:before="165"/>
              <w:ind w:left="211" w:right="200"/>
              <w:jc w:val="center"/>
              <w:rPr>
                <w:sz w:val="20"/>
              </w:rPr>
            </w:pPr>
            <w:r>
              <w:rPr>
                <w:sz w:val="20"/>
              </w:rPr>
              <w:t>2710.20.00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99" w:right="91"/>
              <w:jc w:val="center"/>
              <w:rPr>
                <w:sz w:val="20"/>
              </w:rPr>
            </w:pPr>
            <w:r>
              <w:rPr>
                <w:sz w:val="20"/>
              </w:rPr>
              <w:t>2710.11.80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before="165"/>
              <w:ind w:left="344"/>
              <w:rPr>
                <w:sz w:val="20"/>
              </w:rPr>
            </w:pPr>
            <w:r>
              <w:rPr>
                <w:sz w:val="20"/>
              </w:rPr>
              <w:t>2710.11.80</w:t>
            </w:r>
          </w:p>
        </w:tc>
        <w:tc>
          <w:tcPr>
            <w:tcW w:w="1798" w:type="dxa"/>
            <w:tcBorders>
              <w:top w:val="single" w:sz="6" w:space="0" w:color="000000"/>
              <w:left w:val="single" w:sz="6" w:space="0" w:color="000000"/>
              <w:bottom w:val="single" w:sz="6" w:space="0" w:color="000000"/>
            </w:tcBorders>
          </w:tcPr>
          <w:p>
            <w:pPr>
              <w:pStyle w:val="TableParagraph"/>
              <w:spacing w:line="213" w:lineRule="exact" w:before="165"/>
              <w:ind w:left="155" w:right="155"/>
              <w:jc w:val="center"/>
              <w:rPr>
                <w:sz w:val="20"/>
              </w:rPr>
            </w:pPr>
            <w:r>
              <w:rPr>
                <w:sz w:val="20"/>
              </w:rPr>
              <w:t>2710.20.00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rPr>
                <w:rFonts w:ascii="Times New Roman"/>
                <w:sz w:val="20"/>
              </w:rPr>
            </w:pP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2710.19.80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344"/>
              <w:rPr>
                <w:sz w:val="20"/>
              </w:rPr>
            </w:pPr>
            <w:r>
              <w:rPr>
                <w:sz w:val="20"/>
              </w:rPr>
              <w:t>2710.19.80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2710.20.00</w:t>
            </w:r>
          </w:p>
        </w:tc>
      </w:tr>
      <w:tr>
        <w:trPr>
          <w:trHeight w:val="396" w:hRule="atLeast"/>
        </w:trPr>
        <w:tc>
          <w:tcPr>
            <w:tcW w:w="1600" w:type="dxa"/>
            <w:tcBorders>
              <w:top w:val="single" w:sz="6" w:space="0" w:color="000000"/>
              <w:bottom w:val="single" w:sz="6" w:space="0" w:color="000000"/>
              <w:right w:val="single" w:sz="6" w:space="0" w:color="000000"/>
            </w:tcBorders>
          </w:tcPr>
          <w:p>
            <w:pPr>
              <w:pStyle w:val="TableParagraph"/>
              <w:spacing w:line="212" w:lineRule="exact" w:before="165"/>
              <w:ind w:left="211" w:right="200"/>
              <w:jc w:val="center"/>
              <w:rPr>
                <w:sz w:val="20"/>
              </w:rPr>
            </w:pPr>
            <w:r>
              <w:rPr>
                <w:sz w:val="20"/>
              </w:rPr>
              <w:t>3826.00.10</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99" w:right="91"/>
              <w:jc w:val="center"/>
              <w:rPr>
                <w:sz w:val="20"/>
              </w:rPr>
            </w:pPr>
            <w:r>
              <w:rPr>
                <w:sz w:val="20"/>
              </w:rPr>
              <w:t>3824.90.20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before="165"/>
              <w:ind w:left="344"/>
              <w:rPr>
                <w:sz w:val="20"/>
              </w:rPr>
            </w:pPr>
            <w:r>
              <w:rPr>
                <w:sz w:val="20"/>
              </w:rPr>
              <w:t>3824.90.20</w:t>
            </w:r>
          </w:p>
        </w:tc>
        <w:tc>
          <w:tcPr>
            <w:tcW w:w="1798" w:type="dxa"/>
            <w:tcBorders>
              <w:top w:val="single" w:sz="6" w:space="0" w:color="000000"/>
              <w:left w:val="single" w:sz="6" w:space="0" w:color="000000"/>
              <w:bottom w:val="single" w:sz="6" w:space="0" w:color="000000"/>
            </w:tcBorders>
          </w:tcPr>
          <w:p>
            <w:pPr>
              <w:pStyle w:val="TableParagraph"/>
              <w:spacing w:line="212" w:lineRule="exact" w:before="165"/>
              <w:ind w:left="155" w:right="155"/>
              <w:jc w:val="center"/>
              <w:rPr>
                <w:sz w:val="20"/>
              </w:rPr>
            </w:pPr>
            <w:r>
              <w:rPr>
                <w:sz w:val="20"/>
              </w:rPr>
              <w:t>3826.00.10</w:t>
            </w:r>
          </w:p>
        </w:tc>
      </w:tr>
      <w:tr>
        <w:trPr>
          <w:trHeight w:val="397" w:hRule="atLeast"/>
        </w:trPr>
        <w:tc>
          <w:tcPr>
            <w:tcW w:w="1600" w:type="dxa"/>
            <w:tcBorders>
              <w:top w:val="single" w:sz="6" w:space="0" w:color="000000"/>
              <w:right w:val="single" w:sz="6" w:space="0" w:color="000000"/>
            </w:tcBorders>
          </w:tcPr>
          <w:p>
            <w:pPr>
              <w:pStyle w:val="TableParagraph"/>
              <w:spacing w:line="213" w:lineRule="exact" w:before="165"/>
              <w:ind w:left="211" w:right="200"/>
              <w:jc w:val="center"/>
              <w:rPr>
                <w:sz w:val="20"/>
              </w:rPr>
            </w:pPr>
            <w:r>
              <w:rPr>
                <w:sz w:val="20"/>
              </w:rPr>
              <w:t>3826.00.20</w:t>
            </w:r>
          </w:p>
        </w:tc>
        <w:tc>
          <w:tcPr>
            <w:tcW w:w="1881" w:type="dxa"/>
            <w:tcBorders>
              <w:top w:val="single" w:sz="6" w:space="0" w:color="000000"/>
              <w:left w:val="single" w:sz="6" w:space="0" w:color="000000"/>
              <w:right w:val="single" w:sz="6" w:space="0" w:color="000000"/>
            </w:tcBorders>
          </w:tcPr>
          <w:p>
            <w:pPr>
              <w:pStyle w:val="TableParagraph"/>
              <w:spacing w:line="213" w:lineRule="exact" w:before="165"/>
              <w:ind w:left="99" w:right="91"/>
              <w:jc w:val="center"/>
              <w:rPr>
                <w:sz w:val="20"/>
              </w:rPr>
            </w:pPr>
            <w:r>
              <w:rPr>
                <w:sz w:val="20"/>
              </w:rPr>
              <w:t>3824.90.30</w:t>
            </w:r>
          </w:p>
        </w:tc>
        <w:tc>
          <w:tcPr>
            <w:tcW w:w="96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701" w:type="dxa"/>
            <w:tcBorders>
              <w:top w:val="single" w:sz="6" w:space="0" w:color="000000"/>
              <w:left w:val="single" w:sz="6" w:space="0" w:color="000000"/>
              <w:right w:val="single" w:sz="6" w:space="0" w:color="000000"/>
            </w:tcBorders>
          </w:tcPr>
          <w:p>
            <w:pPr>
              <w:pStyle w:val="TableParagraph"/>
              <w:spacing w:line="213" w:lineRule="exact" w:before="165"/>
              <w:ind w:left="344"/>
              <w:rPr>
                <w:sz w:val="20"/>
              </w:rPr>
            </w:pPr>
            <w:r>
              <w:rPr>
                <w:sz w:val="20"/>
              </w:rPr>
              <w:t>3824.90.30</w:t>
            </w:r>
          </w:p>
        </w:tc>
        <w:tc>
          <w:tcPr>
            <w:tcW w:w="1798" w:type="dxa"/>
            <w:tcBorders>
              <w:top w:val="single" w:sz="6" w:space="0" w:color="000000"/>
              <w:left w:val="single" w:sz="6" w:space="0" w:color="000000"/>
            </w:tcBorders>
          </w:tcPr>
          <w:p>
            <w:pPr>
              <w:pStyle w:val="TableParagraph"/>
              <w:spacing w:line="213" w:lineRule="exact" w:before="165"/>
              <w:ind w:left="155" w:right="155"/>
              <w:jc w:val="center"/>
              <w:rPr>
                <w:sz w:val="20"/>
              </w:rPr>
            </w:pPr>
            <w:r>
              <w:rPr>
                <w:sz w:val="20"/>
              </w:rPr>
              <w:t>3826.00.20</w:t>
            </w:r>
          </w:p>
        </w:tc>
      </w:tr>
    </w:tbl>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601" w:hanging="541"/>
        <w:jc w:val="left"/>
      </w:pPr>
      <w:rPr>
        <w:rFonts w:hint="default" w:ascii="Arial" w:hAnsi="Arial" w:eastAsia="Arial" w:cs="Arial"/>
        <w:i/>
        <w:w w:val="100"/>
        <w:sz w:val="20"/>
        <w:szCs w:val="20"/>
      </w:rPr>
    </w:lvl>
    <w:lvl w:ilvl="1">
      <w:start w:val="0"/>
      <w:numFmt w:val="bullet"/>
      <w:lvlText w:val="•"/>
      <w:lvlJc w:val="left"/>
      <w:pPr>
        <w:ind w:left="3496" w:hanging="541"/>
      </w:pPr>
      <w:rPr>
        <w:rFonts w:hint="default"/>
      </w:rPr>
    </w:lvl>
    <w:lvl w:ilvl="2">
      <w:start w:val="0"/>
      <w:numFmt w:val="bullet"/>
      <w:lvlText w:val="•"/>
      <w:lvlJc w:val="left"/>
      <w:pPr>
        <w:ind w:left="4392" w:hanging="541"/>
      </w:pPr>
      <w:rPr>
        <w:rFonts w:hint="default"/>
      </w:rPr>
    </w:lvl>
    <w:lvl w:ilvl="3">
      <w:start w:val="0"/>
      <w:numFmt w:val="bullet"/>
      <w:lvlText w:val="•"/>
      <w:lvlJc w:val="left"/>
      <w:pPr>
        <w:ind w:left="5289" w:hanging="541"/>
      </w:pPr>
      <w:rPr>
        <w:rFonts w:hint="default"/>
      </w:rPr>
    </w:lvl>
    <w:lvl w:ilvl="4">
      <w:start w:val="0"/>
      <w:numFmt w:val="bullet"/>
      <w:lvlText w:val="•"/>
      <w:lvlJc w:val="left"/>
      <w:pPr>
        <w:ind w:left="6185" w:hanging="541"/>
      </w:pPr>
      <w:rPr>
        <w:rFonts w:hint="default"/>
      </w:rPr>
    </w:lvl>
    <w:lvl w:ilvl="5">
      <w:start w:val="0"/>
      <w:numFmt w:val="bullet"/>
      <w:lvlText w:val="•"/>
      <w:lvlJc w:val="left"/>
      <w:pPr>
        <w:ind w:left="7082" w:hanging="541"/>
      </w:pPr>
      <w:rPr>
        <w:rFonts w:hint="default"/>
      </w:rPr>
    </w:lvl>
    <w:lvl w:ilvl="6">
      <w:start w:val="0"/>
      <w:numFmt w:val="bullet"/>
      <w:lvlText w:val="•"/>
      <w:lvlJc w:val="left"/>
      <w:pPr>
        <w:ind w:left="7978" w:hanging="541"/>
      </w:pPr>
      <w:rPr>
        <w:rFonts w:hint="default"/>
      </w:rPr>
    </w:lvl>
    <w:lvl w:ilvl="7">
      <w:start w:val="0"/>
      <w:numFmt w:val="bullet"/>
      <w:lvlText w:val="•"/>
      <w:lvlJc w:val="left"/>
      <w:pPr>
        <w:ind w:left="8875" w:hanging="541"/>
      </w:pPr>
      <w:rPr>
        <w:rFonts w:hint="default"/>
      </w:rPr>
    </w:lvl>
    <w:lvl w:ilvl="8">
      <w:start w:val="0"/>
      <w:numFmt w:val="bullet"/>
      <w:lvlText w:val="•"/>
      <w:lvlJc w:val="left"/>
      <w:pPr>
        <w:ind w:left="9771" w:hanging="541"/>
      </w:pPr>
      <w:rPr>
        <w:rFonts w:hint="default"/>
      </w:rPr>
    </w:lvl>
  </w:abstractNum>
  <w:abstractNum w:abstractNumId="0">
    <w:multiLevelType w:val="hybridMultilevel"/>
    <w:lvl w:ilvl="0">
      <w:start w:val="1"/>
      <w:numFmt w:val="lowerLetter"/>
      <w:lvlText w:val="(%1)"/>
      <w:lvlJc w:val="left"/>
      <w:pPr>
        <w:ind w:left="2601" w:hanging="540"/>
        <w:jc w:val="left"/>
      </w:pPr>
      <w:rPr>
        <w:rFonts w:hint="default" w:ascii="Arial" w:hAnsi="Arial" w:eastAsia="Arial" w:cs="Arial"/>
        <w:i/>
        <w:spacing w:val="-1"/>
        <w:w w:val="100"/>
        <w:sz w:val="20"/>
        <w:szCs w:val="20"/>
      </w:rPr>
    </w:lvl>
    <w:lvl w:ilvl="1">
      <w:start w:val="0"/>
      <w:numFmt w:val="bullet"/>
      <w:lvlText w:val="•"/>
      <w:lvlJc w:val="left"/>
      <w:pPr>
        <w:ind w:left="3496" w:hanging="540"/>
      </w:pPr>
      <w:rPr>
        <w:rFonts w:hint="default"/>
      </w:rPr>
    </w:lvl>
    <w:lvl w:ilvl="2">
      <w:start w:val="0"/>
      <w:numFmt w:val="bullet"/>
      <w:lvlText w:val="•"/>
      <w:lvlJc w:val="left"/>
      <w:pPr>
        <w:ind w:left="4392" w:hanging="540"/>
      </w:pPr>
      <w:rPr>
        <w:rFonts w:hint="default"/>
      </w:rPr>
    </w:lvl>
    <w:lvl w:ilvl="3">
      <w:start w:val="0"/>
      <w:numFmt w:val="bullet"/>
      <w:lvlText w:val="•"/>
      <w:lvlJc w:val="left"/>
      <w:pPr>
        <w:ind w:left="5289" w:hanging="540"/>
      </w:pPr>
      <w:rPr>
        <w:rFonts w:hint="default"/>
      </w:rPr>
    </w:lvl>
    <w:lvl w:ilvl="4">
      <w:start w:val="0"/>
      <w:numFmt w:val="bullet"/>
      <w:lvlText w:val="•"/>
      <w:lvlJc w:val="left"/>
      <w:pPr>
        <w:ind w:left="6185" w:hanging="540"/>
      </w:pPr>
      <w:rPr>
        <w:rFonts w:hint="default"/>
      </w:rPr>
    </w:lvl>
    <w:lvl w:ilvl="5">
      <w:start w:val="0"/>
      <w:numFmt w:val="bullet"/>
      <w:lvlText w:val="•"/>
      <w:lvlJc w:val="left"/>
      <w:pPr>
        <w:ind w:left="7082" w:hanging="540"/>
      </w:pPr>
      <w:rPr>
        <w:rFonts w:hint="default"/>
      </w:rPr>
    </w:lvl>
    <w:lvl w:ilvl="6">
      <w:start w:val="0"/>
      <w:numFmt w:val="bullet"/>
      <w:lvlText w:val="•"/>
      <w:lvlJc w:val="left"/>
      <w:pPr>
        <w:ind w:left="7978" w:hanging="540"/>
      </w:pPr>
      <w:rPr>
        <w:rFonts w:hint="default"/>
      </w:rPr>
    </w:lvl>
    <w:lvl w:ilvl="7">
      <w:start w:val="0"/>
      <w:numFmt w:val="bullet"/>
      <w:lvlText w:val="•"/>
      <w:lvlJc w:val="left"/>
      <w:pPr>
        <w:ind w:left="8875" w:hanging="540"/>
      </w:pPr>
      <w:rPr>
        <w:rFonts w:hint="default"/>
      </w:rPr>
    </w:lvl>
    <w:lvl w:ilvl="8">
      <w:start w:val="0"/>
      <w:numFmt w:val="bullet"/>
      <w:lvlText w:val="•"/>
      <w:lvlJc w:val="left"/>
      <w:pPr>
        <w:ind w:left="9771"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4"/>
      <w:szCs w:val="24"/>
    </w:rPr>
  </w:style>
  <w:style w:styleId="Title" w:type="paragraph">
    <w:name w:val="Title"/>
    <w:basedOn w:val="Normal"/>
    <w:uiPriority w:val="1"/>
    <w:qFormat/>
    <w:pPr>
      <w:spacing w:before="2"/>
      <w:ind w:left="397"/>
      <w:jc w:val="center"/>
    </w:pPr>
    <w:rPr>
      <w:rFonts w:ascii="Arial" w:hAnsi="Arial" w:eastAsia="Arial" w:cs="Arial"/>
      <w:b/>
      <w:bCs/>
      <w:sz w:val="32"/>
      <w:szCs w:val="32"/>
    </w:rPr>
  </w:style>
  <w:style w:styleId="ListParagraph" w:type="paragraph">
    <w:name w:val="List Paragraph"/>
    <w:basedOn w:val="Normal"/>
    <w:uiPriority w:val="1"/>
    <w:qFormat/>
    <w:pPr>
      <w:ind w:left="2601" w:hanging="541"/>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ACN 2011/47 Alternative Fuels </cp:keywords>
  <dc:subject>ACN 2011/47 Alternative Fuels </dc:subject>
  <dc:title>ACN 2011/47 Alternative Fuels </dc:title>
  <dcterms:created xsi:type="dcterms:W3CDTF">2020-12-09T22:57:50Z</dcterms:created>
  <dcterms:modified xsi:type="dcterms:W3CDTF">2020-12-09T22:57:50Z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2011-10-27T00:00:00Z</vt:filetime>
  </property>
  <property fmtid="{D5CDD505-2E9C-101B-9397-08002B2CF9AE}" pid="3" name="Creator">
    <vt:lpwstr>Acrobat PDFMaker 8.1 for Word</vt:lpwstr>
  </property>
  <property fmtid="{D5CDD505-2E9C-101B-9397-08002B2CF9AE}" pid="4" name="LastSaved">
    <vt:filetime>2020-12-09T00:00:00Z</vt:filetime>
  </property>
</Properties>
</file>