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01721" cy="10875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721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Title"/>
        <w:spacing w:line="232" w:lineRule="auto" w:after="19"/>
        <w:ind w:left="4977" w:right="1608"/>
      </w:pPr>
      <w:r>
        <w:rPr/>
        <w:t>AUSTRALIAN CUSTOMS AND BORDER PROTECTION NOTICE NO. 2011/54</w:t>
      </w:r>
    </w:p>
    <w:p>
      <w:pPr>
        <w:pStyle w:val="BodyText"/>
        <w:spacing w:line="20" w:lineRule="exact"/>
        <w:ind w:left="1492"/>
        <w:rPr>
          <w:sz w:val="2"/>
        </w:rPr>
      </w:pPr>
      <w:r>
        <w:rPr>
          <w:sz w:val="2"/>
        </w:rPr>
        <w:pict>
          <v:group style="width:428.05pt;height:.75pt;mso-position-horizontal-relative:char;mso-position-vertical-relative:line" coordorigin="0,0" coordsize="8561,15">
            <v:rect style="position:absolute;left:0;top:0;width:856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b/>
          <w:sz w:val="18"/>
        </w:rPr>
      </w:pPr>
    </w:p>
    <w:p>
      <w:pPr>
        <w:pStyle w:val="Title"/>
        <w:spacing w:line="230" w:lineRule="auto" w:before="60"/>
        <w:ind w:hanging="2648"/>
      </w:pPr>
      <w:r>
        <w:rPr/>
        <w:t>Customs legislation changes commence for cargo and licensed depots and warehouses</w:t>
      </w:r>
    </w:p>
    <w:p>
      <w:pPr>
        <w:pStyle w:val="BodyText"/>
        <w:rPr>
          <w:b/>
          <w:sz w:val="28"/>
        </w:rPr>
      </w:pPr>
    </w:p>
    <w:p>
      <w:pPr>
        <w:spacing w:line="235" w:lineRule="auto" w:before="174"/>
        <w:ind w:left="1521" w:right="1559" w:firstLine="0"/>
        <w:jc w:val="left"/>
        <w:rPr>
          <w:sz w:val="20"/>
        </w:rPr>
      </w:pPr>
      <w:r>
        <w:rPr>
          <w:sz w:val="20"/>
        </w:rPr>
        <w:t>Changes to the </w:t>
      </w:r>
      <w:r>
        <w:rPr>
          <w:i/>
          <w:sz w:val="20"/>
        </w:rPr>
        <w:t>Customs Act 1901 </w:t>
      </w:r>
      <w:r>
        <w:rPr>
          <w:sz w:val="20"/>
        </w:rPr>
        <w:t>(Customs Act) and the </w:t>
      </w:r>
      <w:r>
        <w:rPr>
          <w:i/>
          <w:sz w:val="20"/>
        </w:rPr>
        <w:t>Customs Regulations 1926 </w:t>
      </w:r>
      <w:r>
        <w:rPr>
          <w:sz w:val="20"/>
        </w:rPr>
        <w:t>(Customs Regulations) commenced on 28 November 2011 for cargo at licensed depots and warehouses. The changes were included in Schedules 1 and 2 of the </w:t>
      </w:r>
      <w:r>
        <w:rPr>
          <w:i/>
          <w:sz w:val="20"/>
        </w:rPr>
        <w:t>Customs Amendment (Export Controls and Other Measures) Act 2011 </w:t>
      </w:r>
      <w:r>
        <w:rPr>
          <w:sz w:val="20"/>
        </w:rPr>
        <w:t>(Export Controls Act) and the Customs Amendment Regulations (No.3) 2011 (Amendment Regulations).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35" w:lineRule="auto"/>
        <w:ind w:left="1521" w:right="1591"/>
      </w:pPr>
      <w:r>
        <w:rPr/>
        <w:t>Australian Customs and Border Protection Notice 2011/56 provides further detail on changes to the Infringement Notice Guidelines and information on the new offences included in the Export Controls Act.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 w:before="1"/>
        <w:ind w:left="1521" w:right="1608"/>
      </w:pPr>
      <w:r>
        <w:rPr/>
        <w:t>A fact sheet on the changes that apply to export cargo is available at </w:t>
      </w:r>
      <w:hyperlink r:id="rId6">
        <w:r>
          <w:rPr>
            <w:color w:val="0000FF"/>
            <w:w w:val="95"/>
            <w:u w:val="single" w:color="0000FF"/>
          </w:rPr>
          <w:t>http://www.customs.gov.au/webdata/resources/files/Legislativechangestoexportcontrols.pdf</w:t>
        </w:r>
      </w:hyperlink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64"/>
        <w:ind w:left="1521"/>
      </w:pPr>
      <w:r>
        <w:rPr/>
        <w:t>A summary of the changes in the two pieces of legislation is below.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521" w:right="0" w:firstLine="0"/>
        <w:jc w:val="left"/>
        <w:rPr>
          <w:rFonts w:ascii="Helvetica-BoldOblique"/>
          <w:b/>
          <w:i/>
          <w:sz w:val="20"/>
        </w:rPr>
      </w:pPr>
      <w:r>
        <w:rPr>
          <w:rFonts w:ascii="Helvetica-BoldOblique"/>
          <w:b/>
          <w:i/>
          <w:sz w:val="20"/>
        </w:rPr>
        <w:t>Customs Amendment (Export Controls and Other Measures) Act 2011</w:t>
      </w:r>
    </w:p>
    <w:p>
      <w:pPr>
        <w:pStyle w:val="BodyText"/>
        <w:spacing w:before="2"/>
        <w:rPr>
          <w:rFonts w:ascii="Helvetica-BoldOblique"/>
          <w:b/>
          <w:i/>
          <w:sz w:val="19"/>
        </w:rPr>
      </w:pPr>
    </w:p>
    <w:p>
      <w:pPr>
        <w:pStyle w:val="BodyText"/>
        <w:spacing w:line="235" w:lineRule="auto"/>
        <w:ind w:left="1521" w:right="1948"/>
      </w:pPr>
      <w:r>
        <w:rPr/>
        <w:t>The measures in the Act form part of the Australian Government’s initiatives to increase the level of security in ports, airports and cargo storage facilities.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521"/>
      </w:pPr>
      <w:r>
        <w:rPr/>
        <w:t>The list below outlines the changes that commenced on 28 November 2011.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18" w:lineRule="auto" w:before="0" w:after="0"/>
        <w:ind w:left="2241" w:right="1701" w:hanging="721"/>
        <w:jc w:val="left"/>
        <w:rPr>
          <w:sz w:val="20"/>
        </w:rPr>
      </w:pPr>
      <w:r>
        <w:rPr>
          <w:sz w:val="20"/>
        </w:rPr>
        <w:t>Customs and Border Protection can now give directions relating to goods in the export environment and can seek additional information in relation to goods being</w:t>
      </w:r>
      <w:r>
        <w:rPr>
          <w:spacing w:val="-32"/>
          <w:sz w:val="20"/>
        </w:rPr>
        <w:t> </w:t>
      </w:r>
      <w:r>
        <w:rPr>
          <w:sz w:val="20"/>
        </w:rPr>
        <w:t>exported.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20" w:lineRule="auto" w:before="29" w:after="0"/>
        <w:ind w:left="2241" w:right="1711" w:hanging="720"/>
        <w:jc w:val="left"/>
        <w:rPr>
          <w:sz w:val="20"/>
        </w:rPr>
      </w:pPr>
      <w:r>
        <w:rPr>
          <w:sz w:val="20"/>
        </w:rPr>
        <w:t>The changes ensure the continued Customs control of goods at a prescribed place for export.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28" w:lineRule="auto" w:before="22" w:after="0"/>
        <w:ind w:left="2241" w:right="2214" w:hanging="720"/>
        <w:jc w:val="left"/>
        <w:rPr>
          <w:sz w:val="20"/>
        </w:rPr>
      </w:pPr>
      <w:r>
        <w:rPr>
          <w:sz w:val="20"/>
        </w:rPr>
        <w:t>Depot operators will be able to comply with a direction of the Secretary of the Department of Infrastructure and Transport without breaching their depot</w:t>
      </w:r>
      <w:r>
        <w:rPr>
          <w:spacing w:val="-38"/>
          <w:sz w:val="20"/>
        </w:rPr>
        <w:t> </w:t>
      </w:r>
      <w:r>
        <w:rPr>
          <w:sz w:val="20"/>
        </w:rPr>
        <w:t>licence conditions.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18" w:lineRule="auto" w:before="26" w:after="0"/>
        <w:ind w:left="2241" w:right="1581" w:hanging="721"/>
        <w:jc w:val="left"/>
        <w:rPr>
          <w:sz w:val="20"/>
        </w:rPr>
      </w:pPr>
      <w:r>
        <w:rPr>
          <w:sz w:val="20"/>
        </w:rPr>
        <w:t>Customs and Border Protection now have the ability to impose new conditions on</w:t>
      </w:r>
      <w:r>
        <w:rPr>
          <w:spacing w:val="-35"/>
          <w:sz w:val="20"/>
        </w:rPr>
        <w:t> </w:t>
      </w:r>
      <w:r>
        <w:rPr>
          <w:sz w:val="20"/>
        </w:rPr>
        <w:t>depot and warehouse licences at any</w:t>
      </w:r>
      <w:r>
        <w:rPr>
          <w:spacing w:val="2"/>
          <w:sz w:val="20"/>
        </w:rPr>
        <w:t> </w:t>
      </w:r>
      <w:r>
        <w:rPr>
          <w:sz w:val="20"/>
        </w:rPr>
        <w:t>time.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46" w:lineRule="exact" w:before="14" w:after="0"/>
        <w:ind w:left="2241" w:right="0" w:hanging="721"/>
        <w:jc w:val="left"/>
        <w:rPr>
          <w:sz w:val="20"/>
        </w:rPr>
      </w:pPr>
      <w:r>
        <w:rPr>
          <w:sz w:val="20"/>
        </w:rPr>
        <w:t>There are new offices for breaches of the conditions of a depot or warehouse</w:t>
      </w:r>
      <w:r>
        <w:rPr>
          <w:spacing w:val="-8"/>
          <w:sz w:val="20"/>
        </w:rPr>
        <w:t> </w:t>
      </w:r>
      <w:r>
        <w:rPr>
          <w:sz w:val="20"/>
        </w:rPr>
        <w:t>licence.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20" w:lineRule="auto" w:before="11" w:after="0"/>
        <w:ind w:left="2241" w:right="1792" w:hanging="72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amendments</w:t>
      </w:r>
      <w:r>
        <w:rPr>
          <w:spacing w:val="-3"/>
          <w:sz w:val="20"/>
        </w:rPr>
        <w:t> </w:t>
      </w:r>
      <w:r>
        <w:rPr>
          <w:sz w:val="20"/>
        </w:rPr>
        <w:t>strengthen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powers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officers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give</w:t>
      </w:r>
      <w:r>
        <w:rPr>
          <w:spacing w:val="-4"/>
          <w:sz w:val="20"/>
        </w:rPr>
        <w:t> </w:t>
      </w:r>
      <w:r>
        <w:rPr>
          <w:sz w:val="20"/>
        </w:rPr>
        <w:t>directions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depot</w:t>
      </w:r>
      <w:r>
        <w:rPr>
          <w:spacing w:val="-3"/>
          <w:sz w:val="20"/>
        </w:rPr>
        <w:t> </w:t>
      </w:r>
      <w:r>
        <w:rPr>
          <w:sz w:val="20"/>
        </w:rPr>
        <w:t>licence holders.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18" w:lineRule="auto" w:before="29" w:after="0"/>
        <w:ind w:left="2241" w:right="2104" w:hanging="720"/>
        <w:jc w:val="left"/>
        <w:rPr>
          <w:sz w:val="20"/>
        </w:rPr>
      </w:pPr>
      <w:r>
        <w:rPr>
          <w:sz w:val="20"/>
        </w:rPr>
        <w:t>The Chief Executive Officer (CEO) now has the ability to suspend or cancel</w:t>
      </w:r>
      <w:r>
        <w:rPr>
          <w:spacing w:val="-30"/>
          <w:sz w:val="20"/>
        </w:rPr>
        <w:t> </w:t>
      </w:r>
      <w:r>
        <w:rPr>
          <w:sz w:val="20"/>
        </w:rPr>
        <w:t>depot licences.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18" w:lineRule="auto" w:before="31" w:after="0"/>
        <w:ind w:left="2241" w:right="1648" w:hanging="720"/>
        <w:jc w:val="left"/>
        <w:rPr>
          <w:sz w:val="20"/>
        </w:rPr>
      </w:pPr>
      <w:r>
        <w:rPr>
          <w:sz w:val="20"/>
        </w:rPr>
        <w:t>The Act now sets out the timeframes within which the CEO must decide whether or</w:t>
      </w:r>
      <w:r>
        <w:rPr>
          <w:spacing w:val="-36"/>
          <w:sz w:val="20"/>
        </w:rPr>
        <w:t> </w:t>
      </w:r>
      <w:r>
        <w:rPr>
          <w:sz w:val="20"/>
        </w:rPr>
        <w:t>not to grant a warehouse</w:t>
      </w:r>
      <w:r>
        <w:rPr>
          <w:spacing w:val="-1"/>
          <w:sz w:val="20"/>
        </w:rPr>
        <w:t> </w:t>
      </w:r>
      <w:r>
        <w:rPr>
          <w:sz w:val="20"/>
        </w:rPr>
        <w:t>licence.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20" w:lineRule="auto" w:before="28" w:after="0"/>
        <w:ind w:left="2241" w:right="1770" w:hanging="721"/>
        <w:jc w:val="left"/>
        <w:rPr>
          <w:sz w:val="20"/>
        </w:rPr>
      </w:pPr>
      <w:r>
        <w:rPr>
          <w:sz w:val="20"/>
        </w:rPr>
        <w:t>Warehouse licence holders will be able to apply to the CEO to vary the place</w:t>
      </w:r>
      <w:r>
        <w:rPr>
          <w:spacing w:val="-34"/>
          <w:sz w:val="20"/>
        </w:rPr>
        <w:t> </w:t>
      </w:r>
      <w:r>
        <w:rPr>
          <w:sz w:val="20"/>
        </w:rPr>
        <w:t>covered by a warehouse</w:t>
      </w:r>
      <w:r>
        <w:rPr>
          <w:spacing w:val="-1"/>
          <w:sz w:val="20"/>
        </w:rPr>
        <w:t> </w:t>
      </w:r>
      <w:r>
        <w:rPr>
          <w:sz w:val="20"/>
        </w:rPr>
        <w:t>licence.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20" w:lineRule="auto" w:before="26" w:after="0"/>
        <w:ind w:left="2241" w:right="2324" w:hanging="720"/>
        <w:jc w:val="left"/>
        <w:rPr>
          <w:sz w:val="20"/>
        </w:rPr>
      </w:pPr>
      <w:r>
        <w:rPr>
          <w:sz w:val="20"/>
        </w:rPr>
        <w:t>The Act provides for the refunds of warehouse licence fees on cancellation of a warehouse</w:t>
      </w:r>
      <w:r>
        <w:rPr>
          <w:spacing w:val="-2"/>
          <w:sz w:val="20"/>
        </w:rPr>
        <w:t> </w:t>
      </w:r>
      <w:r>
        <w:rPr>
          <w:sz w:val="20"/>
        </w:rPr>
        <w:t>licence.</w:t>
      </w:r>
    </w:p>
    <w:p>
      <w:pPr>
        <w:spacing w:after="0" w:line="220" w:lineRule="auto"/>
        <w:jc w:val="left"/>
        <w:rPr>
          <w:sz w:val="20"/>
        </w:rPr>
        <w:sectPr>
          <w:type w:val="continuous"/>
          <w:pgSz w:w="11900" w:h="16840"/>
          <w:pgMar w:top="1140" w:bottom="280" w:left="180" w:right="160"/>
        </w:sectPr>
      </w:pPr>
    </w:p>
    <w:p>
      <w:pPr>
        <w:spacing w:before="44"/>
        <w:ind w:left="1521" w:right="0" w:firstLine="0"/>
        <w:jc w:val="left"/>
        <w:rPr>
          <w:b/>
          <w:sz w:val="20"/>
        </w:rPr>
      </w:pPr>
      <w:r>
        <w:rPr>
          <w:b/>
          <w:sz w:val="20"/>
        </w:rPr>
        <w:t>Customs Amendment Regulations (No.3) 2011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35" w:lineRule="auto"/>
        <w:ind w:left="1521" w:right="1608"/>
      </w:pPr>
      <w:r>
        <w:rPr/>
        <w:t>The changes included in the Amendment Regulations support the Export Controls Act amendments and make a number of other minor changes.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  <w:tab w:pos="4984" w:val="left" w:leader="none"/>
        </w:tabs>
        <w:spacing w:line="230" w:lineRule="auto" w:before="0" w:after="0"/>
        <w:ind w:left="2241" w:right="1602" w:hanging="720"/>
        <w:jc w:val="left"/>
        <w:rPr>
          <w:sz w:val="20"/>
        </w:rPr>
      </w:pPr>
      <w:r>
        <w:rPr>
          <w:sz w:val="20"/>
        </w:rPr>
        <w:t>The Export Controls Act inserted a new circumstance in section 30 of the Customs Act establishing customs control over goods that are in prescribed places for export and that are no longer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export.</w:t>
        <w:tab/>
        <w:t>The Amendment Regulations add the new circumstance to regulation 23 specifying certain places as prescribed places for the reception or manufacture of goods for</w:t>
      </w:r>
      <w:r>
        <w:rPr>
          <w:spacing w:val="-1"/>
          <w:sz w:val="20"/>
        </w:rPr>
        <w:t> </w:t>
      </w:r>
      <w:r>
        <w:rPr>
          <w:sz w:val="20"/>
        </w:rPr>
        <w:t>export.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18" w:lineRule="auto" w:before="30" w:after="0"/>
        <w:ind w:left="2241" w:right="1602" w:hanging="720"/>
        <w:jc w:val="left"/>
        <w:rPr>
          <w:sz w:val="20"/>
        </w:rPr>
      </w:pPr>
      <w:r>
        <w:rPr>
          <w:sz w:val="20"/>
        </w:rPr>
        <w:t>The Amendment Regulations specify new arrangements for calculating the amount of</w:t>
      </w:r>
      <w:r>
        <w:rPr>
          <w:spacing w:val="-37"/>
          <w:sz w:val="20"/>
        </w:rPr>
        <w:t> </w:t>
      </w:r>
      <w:r>
        <w:rPr>
          <w:sz w:val="20"/>
        </w:rPr>
        <w:t>a refund for a cancelled warehouse</w:t>
      </w:r>
      <w:r>
        <w:rPr>
          <w:spacing w:val="1"/>
          <w:sz w:val="20"/>
        </w:rPr>
        <w:t> </w:t>
      </w:r>
      <w:r>
        <w:rPr>
          <w:sz w:val="20"/>
        </w:rPr>
        <w:t>licence.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30" w:lineRule="auto" w:before="19" w:after="0"/>
        <w:ind w:left="2241" w:right="1668" w:hanging="721"/>
        <w:jc w:val="left"/>
        <w:rPr>
          <w:sz w:val="20"/>
        </w:rPr>
      </w:pPr>
      <w:r>
        <w:rPr>
          <w:sz w:val="20"/>
        </w:rPr>
        <w:t>The Amendment Regulations prescribe the </w:t>
      </w:r>
      <w:r>
        <w:rPr>
          <w:i/>
          <w:sz w:val="20"/>
        </w:rPr>
        <w:t>Aviation Transport Security Act 2004 </w:t>
      </w:r>
      <w:r>
        <w:rPr>
          <w:sz w:val="20"/>
        </w:rPr>
        <w:t>for a range of purposes added or amended by the Export Controls Act. These purposes include applying conditions to depot and warehouse licences including duty free</w:t>
      </w:r>
      <w:r>
        <w:rPr>
          <w:spacing w:val="-34"/>
          <w:sz w:val="20"/>
        </w:rPr>
        <w:t> </w:t>
      </w:r>
      <w:r>
        <w:rPr>
          <w:sz w:val="20"/>
        </w:rPr>
        <w:t>stores and giving directions in relation to goods for</w:t>
      </w:r>
      <w:r>
        <w:rPr>
          <w:spacing w:val="-3"/>
          <w:sz w:val="20"/>
        </w:rPr>
        <w:t> </w:t>
      </w:r>
      <w:r>
        <w:rPr>
          <w:sz w:val="20"/>
        </w:rPr>
        <w:t>export.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30" w:lineRule="auto" w:before="19" w:after="0"/>
        <w:ind w:left="2241" w:right="1824" w:hanging="721"/>
        <w:jc w:val="left"/>
        <w:rPr>
          <w:sz w:val="20"/>
        </w:rPr>
      </w:pPr>
      <w:r>
        <w:rPr>
          <w:sz w:val="20"/>
        </w:rPr>
        <w:t>The Amendment Regulations clarify that the requirement that the goods for which a refund application is made must be goods covered by the same import declaration or self-assessed clearance document, also applies to returns under subsections 69(5), 70(7) or 105(2) of the Customs</w:t>
      </w:r>
      <w:r>
        <w:rPr>
          <w:spacing w:val="-2"/>
          <w:sz w:val="20"/>
        </w:rPr>
        <w:t> </w:t>
      </w:r>
      <w:r>
        <w:rPr>
          <w:sz w:val="20"/>
        </w:rPr>
        <w:t>Act.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30" w:lineRule="auto" w:before="16" w:after="0"/>
        <w:ind w:left="2241" w:right="1628" w:hanging="721"/>
        <w:jc w:val="left"/>
        <w:rPr>
          <w:sz w:val="20"/>
        </w:rPr>
      </w:pPr>
      <w:r>
        <w:rPr>
          <w:sz w:val="20"/>
        </w:rPr>
        <w:t>The Amendment Regulations insert a reference to ‘2208.90.00’ under the second heading in the Schedule 1AAA covering ‘certain undenatured ethyl alcohol etc’ Schedule 1AAA lists particular Australian Harmonized Export Commodity</w:t>
      </w:r>
      <w:r>
        <w:rPr>
          <w:spacing w:val="-37"/>
          <w:sz w:val="20"/>
        </w:rPr>
        <w:t> </w:t>
      </w:r>
      <w:r>
        <w:rPr>
          <w:sz w:val="20"/>
        </w:rPr>
        <w:t>Classification (AHECC) Codes for which particular requirements apply in relation to goods when they are released from a Customs warehouse for</w:t>
      </w:r>
      <w:r>
        <w:rPr>
          <w:spacing w:val="-4"/>
          <w:sz w:val="20"/>
        </w:rPr>
        <w:t> </w:t>
      </w:r>
      <w:r>
        <w:rPr>
          <w:sz w:val="20"/>
        </w:rPr>
        <w:t>export.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32" w:lineRule="auto"/>
        <w:ind w:left="1521" w:right="2403"/>
      </w:pPr>
      <w:r>
        <w:rPr/>
        <w:t>The new legislation is available on the Commonwealth Government’s legislation page. </w:t>
      </w:r>
      <w:hyperlink r:id="rId7">
        <w:r>
          <w:rPr>
            <w:color w:val="0000FF"/>
            <w:u w:val="single" w:color="0000FF"/>
          </w:rPr>
          <w:t>http://www.comlaw.gov.au</w:t>
        </w:r>
      </w:hyperlink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35" w:lineRule="auto" w:before="68"/>
        <w:ind w:left="1521" w:right="2392"/>
      </w:pPr>
      <w:r>
        <w:rPr/>
        <w:t>If you have any questions or want more detail on the legislation changes, please email </w:t>
      </w:r>
      <w:hyperlink r:id="rId8">
        <w:r>
          <w:rPr>
            <w:color w:val="0000FF"/>
            <w:u w:val="single" w:color="0000FF"/>
          </w:rPr>
          <w:t>traderevenuepolicy@customs.gov.au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521"/>
      </w:pPr>
      <w:r>
        <w:rPr/>
        <w:t>[signed]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32" w:lineRule="exact"/>
        <w:ind w:left="1521"/>
      </w:pPr>
      <w:r>
        <w:rPr/>
        <w:t>Anita Langford</w:t>
      </w:r>
    </w:p>
    <w:p>
      <w:pPr>
        <w:pStyle w:val="BodyText"/>
        <w:spacing w:line="235" w:lineRule="auto"/>
        <w:ind w:left="1521" w:right="7984"/>
      </w:pPr>
      <w:r>
        <w:rPr/>
        <w:t>A/g National Manager Trade Services Branch 30 November 2011</w:t>
      </w:r>
    </w:p>
    <w:sectPr>
      <w:pgSz w:w="11900" w:h="16840"/>
      <w:pgMar w:top="15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Symbol">
    <w:altName w:val="Symbol"/>
    <w:charset w:val="0"/>
    <w:family w:val="auto"/>
    <w:pitch w:val="variable"/>
  </w:font>
  <w:font w:name="Helvetica-BoldOblique">
    <w:altName w:val="Helvetica-BoldObliqu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241" w:hanging="720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172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04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36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68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0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2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764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96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</w:rPr>
  </w:style>
  <w:style w:styleId="Title" w:type="paragraph">
    <w:name w:val="Title"/>
    <w:basedOn w:val="Normal"/>
    <w:uiPriority w:val="1"/>
    <w:qFormat/>
    <w:pPr>
      <w:spacing w:before="56"/>
      <w:ind w:left="4178" w:right="1529" w:hanging="3368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2241" w:right="1602" w:hanging="721"/>
    </w:pPr>
    <w:rPr>
      <w:rFonts w:ascii="Helvetica" w:hAnsi="Helvetica" w:eastAsia="Helvetica" w:cs="Helvetic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customs.gov.au/webdata/resources/files/Legislativechangestoexportcontrols.pdf" TargetMode="External"/><Relationship Id="rId7" Type="http://schemas.openxmlformats.org/officeDocument/2006/relationships/hyperlink" Target="http://www.comlaw.gov.au/" TargetMode="External"/><Relationship Id="rId8" Type="http://schemas.openxmlformats.org/officeDocument/2006/relationships/hyperlink" Target="mailto:traderevenuepolicy@customs.gov.au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C8IVS</dc:creator>
  <dc:title>Microsoft Word - ACBPN 2011 54 - legislation commenced.doc</dc:title>
  <dcterms:created xsi:type="dcterms:W3CDTF">2020-12-09T22:53:28Z</dcterms:created>
  <dcterms:modified xsi:type="dcterms:W3CDTF">2020-12-09T22:53:28Z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